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СИНОПСИС ПРОТОКОЛА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Секция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Название клинического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Номер исследования</w:t>
            </w:r>
          </w:p>
        </w:tc>
        <w:tc>
          <w:tcPr>
            <w:tcW w:type="dxa" w:w="4320"/>
          </w:tcPr>
          <w:p>
            <w:r>
              <w:t>BE-RSABE-TEST-C</w:t>
            </w:r>
          </w:p>
        </w:tc>
      </w:tr>
      <w:tr>
        <w:tc>
          <w:tcPr>
            <w:tcW w:type="dxa" w:w="4320"/>
          </w:tcPr>
          <w:p>
            <w:r>
              <w:t>Спонсор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Фаза клинического исследования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Действующее вещество</w:t>
            </w:r>
          </w:p>
        </w:tc>
        <w:tc>
          <w:tcPr>
            <w:tcW w:type="dxa" w:w="4320"/>
          </w:tcPr>
          <w:p>
            <w:r>
              <w:t>cyclosporine</w:t>
            </w:r>
          </w:p>
        </w:tc>
      </w:tr>
      <w:tr>
        <w:tc>
          <w:tcPr>
            <w:tcW w:type="dxa" w:w="4320"/>
          </w:tcPr>
          <w:p>
            <w:r>
              <w:t>Лекарственная форма и дозировка</w:t>
            </w:r>
          </w:p>
        </w:tc>
        <w:tc>
          <w:tcPr>
            <w:tcW w:type="dxa" w:w="4320"/>
          </w:tcPr>
          <w:p>
            <w:r>
              <w:t>таблетки, покрытые плёночной оболочкой, 100 мг</w:t>
            </w:r>
          </w:p>
        </w:tc>
      </w:tr>
      <w:tr>
        <w:tc>
          <w:tcPr>
            <w:tcW w:type="dxa" w:w="4320"/>
          </w:tcPr>
          <w:p>
            <w:r>
              <w:t>Цель исследования</w:t>
            </w:r>
          </w:p>
        </w:tc>
        <w:tc>
          <w:tcPr>
            <w:tcW w:type="dxa" w:w="4320"/>
          </w:tcPr>
          <w:p>
            <w:r>
              <w:t>Оценка биоэквивалентности тестового и референтного препаратов действующего вещества cyclosporine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Задачи исследования</w:t>
            </w:r>
          </w:p>
        </w:tc>
        <w:tc>
          <w:tcPr>
            <w:tcW w:type="dxa" w:w="4320"/>
          </w:tcPr>
          <w:p>
            <w:r>
              <w:t>1. Определить фармакокинетические параметры (Cmax, AUC0-t, AUC0-inf) тестового и референтного препаратов.</w:t>
              <w:br/>
              <w:t>2. Провести статистическое сравнение PK-параметров для оценки биоэквивалентности.</w:t>
              <w:br/>
              <w:t>3. Оценить безопасность и переносимость препаратов.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</w:t>
            </w:r>
          </w:p>
        </w:tc>
        <w:tc>
          <w:tcPr>
            <w:tcW w:type="dxa" w:w="4320"/>
          </w:tcPr>
          <w:p>
            <w:r>
              <w:t>Cmax, AUC0-t (90% ДИ отношения геометрических средних: 80.00–125.00%).</w:t>
            </w:r>
          </w:p>
        </w:tc>
      </w:tr>
      <w:tr>
        <w:tc>
          <w:tcPr>
            <w:tcW w:type="dxa" w:w="4320"/>
          </w:tcPr>
          <w:p>
            <w:r>
              <w:t>Вторичные конечные точки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Дизайн исследования</w:t>
            </w:r>
          </w:p>
        </w:tc>
        <w:tc>
          <w:tcPr>
            <w:tcW w:type="dxa" w:w="4320"/>
          </w:tcPr>
          <w:p>
            <w:r>
              <w:t>Дизайн: 4-way_replicate; Тип: single; Режим приёма: fasted</w:t>
            </w:r>
          </w:p>
        </w:tc>
      </w:tr>
      <w:tr>
        <w:tc>
          <w:tcPr>
            <w:tcW w:type="dxa" w:w="4320"/>
          </w:tcPr>
          <w:p>
            <w:r>
              <w:t>Обоснование дизайна</w:t>
            </w:r>
          </w:p>
        </w:tc>
        <w:tc>
          <w:tcPr>
            <w:tcW w:type="dxa" w:w="4320"/>
          </w:tcPr>
          <w:p>
            <w:r>
              <w:t>Reference-Scaled ABE required (EAEU Decision 85)</w:t>
            </w:r>
          </w:p>
        </w:tc>
      </w:tr>
      <w:tr>
        <w:tc>
          <w:tcPr>
            <w:tcW w:type="dxa" w:w="4320"/>
          </w:tcPr>
          <w:p>
            <w:r>
              <w:t>Методология исследования</w:t>
            </w:r>
          </w:p>
        </w:tc>
        <w:tc>
          <w:tcPr>
            <w:tcW w:type="dxa" w:w="4320"/>
          </w:tcPr>
          <w:p>
            <w:r>
              <w:t>240.0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t>Пол: мужчины и женщины; Возраст: 18-50; Ограничения: ИМТ 18.5–30 кг/м², некурящие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Критерии невключения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Фармакокинетические параметры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Биоаналитические методы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Временная структура исследования (таймпоинты)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t>N_det is not computed due to Data Quality (Red Flag) / missing primary endpoints.; N_risk not computed (requires CV range/distribution)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t>Дисперсионный анализ (ANOVA) логарифмически преобразованных PK-параметров. Расчёт 90% ДИ для отношения геометрических средних Test/Reference. Критерий биоэквивалентности: 80.00% – 125.00% (EAEU, Decision 85).</w:t>
            </w:r>
          </w:p>
        </w:tc>
      </w:tr>
      <w:tr>
        <w:tc>
          <w:tcPr>
            <w:tcW w:type="dxa" w:w="4320"/>
          </w:tcPr>
          <w:p>
            <w:r>
              <w:t>План мониторинга безопасности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Этические и регуляторные аспекты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Качество данных (DQI)</w:t>
            </w:r>
          </w:p>
        </w:tc>
        <w:tc>
          <w:tcPr>
            <w:tcW w:type="dxa" w:w="4320"/>
          </w:tcPr>
          <w:p>
            <w:r>
              <w:t>red (score: 0)</w:t>
            </w:r>
          </w:p>
        </w:tc>
      </w:tr>
      <w:tr>
        <w:tc>
          <w:tcPr>
            <w:tcW w:type="dxa" w:w="4320"/>
          </w:tcPr>
          <w:p>
            <w:r>
              <w:t>Регуляторные замечания / Open Questions</w:t>
            </w:r>
          </w:p>
        </w:tc>
        <w:tc>
          <w:tcPr>
            <w:tcW w:type="dxa" w:w="4320"/>
          </w:tcPr>
          <w:p>
            <w:r>
              <w:t>Подтвердите релевантность источников (human, BE/PK, сопоставимые условия fed/fasted)., Подтвердите релевантность источников (human, BE/PK, сопоставимые условия fed/fasted)., Подтвердите/уточните ключевые PK параметры (AUC, Cmax, t1/2 или признак long half-life)., Подтвердите источник CVintra (reported/derived/manual/variability_range) и применимость к параметрам AUC/Cmax., Если часть чисел без evidence — добавьте PMID/таблицу/фрагмент текста., Provide content for section: Название клинического исследования, Provide content for section: Спонсор исследования, Provide content for section: Цель исследования, Provide content for section: Задачи исследования, Provide content for section: Первичные конечные точки, Provide content for section: Вторичные конечные точки, Provide content for section: Критерии включения, Provide content for section: Критерии невключения, Provide content for section: Фармакокинетические параметры, Provide content for section: Биоаналитические методы, Provide content for section: Временная структура исследования (таймпоинты), Provide content for section: Размер выборки, Provide content for section: Рандомизация, Provide content for section: Статистические методы, Provide content for section: План мониторинга безопасности, Provide content for section: Этические и регуляторные аспекты, DQI: Hard Red Flag: Missing primary PK endpoints (AUC and Cmax)., DQI: CI values not available., DQI: Sample size n not available near CI/GMR context.</w:t>
            </w:r>
          </w:p>
        </w:tc>
      </w:tr>
      <w:tr>
        <w:tc>
          <w:tcPr>
            <w:tcW w:type="dxa" w:w="4320"/>
          </w:tcPr>
          <w:p>
            <w:r>
              <w:t>Библиографический список источников</w:t>
            </w:r>
          </w:p>
        </w:tc>
        <w:tc>
          <w:tcPr>
            <w:tcW w:type="dxa" w:w="4320"/>
          </w:tcPr>
          <w:p>
            <w:r>
              <w:t>См. ниже</w:t>
            </w:r>
          </w:p>
        </w:tc>
      </w:tr>
    </w:tbl>
    <w:p/>
    <w:p>
      <w:pPr>
        <w:spacing w:before="240" w:after="120"/>
      </w:pPr>
      <w:r>
        <w:rPr>
          <w:b/>
        </w:rPr>
        <w:t>Библиографический список источников</w:t>
      </w:r>
    </w:p>
    <w:p>
      <w:r>
        <w:t>1. Characterization of Drug-Drug Interactions for Remdesivir, an Intravenous Antiviral for SARS-CoV-2, in Healthy Participants. (2025) PMID:41222450</w:t>
      </w:r>
    </w:p>
    <w:p>
      <w:r>
        <w:t>2. Regulatory Divergence in Narrow Therapeutic Index Drugs: A Comparative Review of the US, EU, Japan, Canada, and South Korea. (2025) PMID:41219563</w:t>
      </w:r>
    </w:p>
    <w:p>
      <w:r>
        <w:t>3. Clinical assessment of mocravimod as a victim of drug-drug interactions via CYP3A4 metabolism and transporters. (2025) PMID:41159960</w:t>
      </w:r>
    </w:p>
    <w:p>
      <w:r>
        <w:t>4. Development of a Physiologically Based Pharmacokinetic Model to Evaluate Dosing Regimens of Cyclosporine as a Precipitant of Organic Anion Transporting Polypeptide 1B (OATP1B)- and CYP3A4-Mediated Drug-Drug Interactions. (2025) PMID:40646684</w:t>
      </w:r>
    </w:p>
    <w:p>
      <w:r>
        <w:t>5. Mechanistic Determinants of Daprodustat Drug-Drug Interactions and Pharmacokinetics in Hepatic Dysfunction and Chronic Kidney Disease: Significance of OATP1B-CYP2C8 Interplay. (2024) PMID:38404228</w:t>
      </w:r>
    </w:p>
    <w:p>
      <w:r>
        <w:t>6. IVIVC Revised. (2024) PMID:38191705</w:t>
      </w:r>
    </w:p>
    <w:p>
      <w:r>
        <w:t>7. Generic Medicinal Products in Immunosuppressive Therapy-Should It be a Challenge for Therapeutic Drug Monitoring? (2023) PMID:36920502</w:t>
      </w:r>
    </w:p>
    <w:p>
      <w:r>
        <w:t>8. Product Quality Research for Developing and Assessing Regulatory Submissions for Generic Cyclosporine Ophthalmic Emulsions. (2023) PMID:36702976</w:t>
      </w:r>
    </w:p>
    <w:p>
      <w:r>
        <w:t>9. Monitoring of Ex Vivo Cyclosporin a Activity in Healthy Volunteers Using T Cell Function Assays in Relation to Whole Blood and Cellular Pharmacokinetics. (2022) PMID:36145707</w:t>
      </w:r>
    </w:p>
    <w:p>
      <w:r>
        <w:t>10. Pharmacokinetics and bioequivalence of two cyclosporine oral solution formulations in cats. (2022) PMID:36032284</w:t>
      </w:r>
    </w:p>
    <w:p>
      <w:r>
        <w:t>11. Characterization of Drug-Drug Interactions for Remdesivir, an Intravenous Antiviral for SARS-CoV-2, in Healthy Participants. (2025) PMID:PMCID:12610943</w:t>
      </w:r>
    </w:p>
    <w:p>
      <w:r>
        <w:t>12. Monitoring of Ex Vivo Cyclosporin a Activity in Healthy Volunteers Using T Cell Function Assays in Relation to Whole Blood and Cellular Pharmacokinetics. (2022) PMID:PMCID:9503885</w:t>
      </w:r>
    </w:p>
    <w:p>
      <w:r>
        <w:t>13. Pharmacokinetics and bioequivalence of two cyclosporine oral solution formulations in cats. (2022) PMID:PMCID:9399922</w:t>
      </w:r>
    </w:p>
    <w:p>
      <w:r>
        <w:t>14. P-Glycoprotein and Breast Cancer Resistance Protein Transporter Inhibition by Cyclosporine and Quinidine on the Pharmacokinetics of Oral Rimegepant in Healthy Subjects. (2022) PMID:PMCID:9311059</w:t>
      </w:r>
    </w:p>
    <w:p>
      <w:r>
        <w:t>15. Pharmacokinetics of apixaban and tacrolimus or cyclosporine in kidney and lung transplant recipients. (2022) PMID:PMCID:9283751</w:t>
      </w:r>
    </w:p>
    <w:p>
      <w:r>
        <w:t>16. Comparing Predictions of a PBPK Model for Cyclosporine With Drug Levels From Therapeutic Drug Monitoring. (2021) PMID:PMCID:8161189</w:t>
      </w:r>
    </w:p>
    <w:p>
      <w:r>
        <w:t>17. Assessment of Clinical Drug-Drug Interactions of Elagolix, a Gonadotropin-Releasing Hormone Receptor Antagonist. (2020) PMID:PMCID:7689813</w:t>
      </w:r>
    </w:p>
    <w:p>
      <w:r>
        <w:t>18. Evaluation of drug-drug interaction of lusutrombopag, a thrombopoietin receptor agonist, via metabolic enzymes and transporters. (2020) PMID:PMCID:7661413</w:t>
      </w:r>
    </w:p>
    <w:p>
      <w:r>
        <w:t>19. Pomegranate Juice does not Affect the Bioavailability of Cyclosporine in Healthy Thai Volunteers. (2020) PMID:PMCID:7579232</w:t>
      </w:r>
    </w:p>
    <w:p>
      <w:r>
        <w:t>20. Clinical Drug-Drug Interaction Studies to Evaluate the Effects of a P-Glycoprotein Inhibitor, CYP3A Inhibitors, and a CYP3A Inducer on the Pharmacokinetics of Naldemedine in Healthy Subjects. (2020) PMID:PMCID:7242238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