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СИНОПСИС ПРОТОКОЛА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Секция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Название клинического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t>BE-RSABE-TEST-C</w:t>
            </w:r>
          </w:p>
        </w:tc>
      </w:tr>
      <w:tr>
        <w:tc>
          <w:tcPr>
            <w:tcW w:type="dxa" w:w="4320"/>
          </w:tcPr>
          <w:p>
            <w:r>
              <w:t>Спонсор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Фаза клинического исследования</w:t>
            </w:r>
          </w:p>
        </w:tc>
        <w:tc>
          <w:tcPr>
            <w:tcW w:type="dxa" w:w="4320"/>
          </w:tcPr>
          <w:p>
            <w:r>
              <w:t>Исследование биоэквивалентности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t>metformin</w:t>
            </w:r>
          </w:p>
        </w:tc>
      </w:tr>
      <w:tr>
        <w:tc>
          <w:tcPr>
            <w:tcW w:type="dxa" w:w="4320"/>
          </w:tcPr>
          <w:p>
            <w:r>
              <w:t>Лекарственная форма и дозировка</w:t>
            </w:r>
          </w:p>
        </w:tc>
        <w:tc>
          <w:tcPr>
            <w:tcW w:type="dxa" w:w="4320"/>
          </w:tcPr>
          <w:p>
            <w:r>
              <w:t>таблетки, покрытые плёночной оболочкой,, 100 мг</w:t>
            </w:r>
          </w:p>
        </w:tc>
      </w:tr>
      <w:tr>
        <w:tc>
          <w:tcPr>
            <w:tcW w:type="dxa" w:w="4320"/>
          </w:tcPr>
          <w:p>
            <w:r>
              <w:t>Цель исследования</w:t>
            </w:r>
          </w:p>
        </w:tc>
        <w:tc>
          <w:tcPr>
            <w:tcW w:type="dxa" w:w="4320"/>
          </w:tcPr>
          <w:p>
            <w:r>
              <w:t>Оценка биоэквивалентности тестового и референтного препаратов действующего вещества metformin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Задачи исследования</w:t>
            </w:r>
          </w:p>
        </w:tc>
        <w:tc>
          <w:tcPr>
            <w:tcW w:type="dxa" w:w="4320"/>
          </w:tcPr>
          <w:p>
            <w:r>
              <w:t>1. Определить фармакокинетические параметры (Cmax, AUC0-t, AUC0-inf) тестового и референтного препаратов.</w:t>
              <w:br/>
              <w:t>2. Провести статистическое сравнение PK-параметров для оценки биоэквивалентности.</w:t>
              <w:br/>
              <w:t>3. Оценить безопасность и переносимость препаратов.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t>Cmax, AUC0-t (90% ДИ отношения геометрических средних: 80.00–125.00%).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t>Tmax, t1/2, AUC0-inf (при применимости), показатели безопасности.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t>Дизайн: replicate; Режим приёма: fasted; Периоды: 4; Последовательности: TRTR / RTRT; Период отмывки: 7 дн.; Рандомизация: Рандомизация 1:1 по последовательностям (TRTR / RTRT).</w:t>
            </w:r>
          </w:p>
        </w:tc>
      </w:tr>
      <w:tr>
        <w:tc>
          <w:tcPr>
            <w:tcW w:type="dxa" w:w="4320"/>
          </w:tcPr>
          <w:p>
            <w:r>
              <w:t>Обоснование дизайна</w:t>
            </w:r>
          </w:p>
        </w:tc>
        <w:tc>
          <w:tcPr>
            <w:tcW w:type="dxa" w:w="4320"/>
          </w:tcPr>
          <w:p>
            <w:r>
              <w:t>Highly variable drug (CVintra &gt;= 30%): replicate design recommended.</w:t>
            </w:r>
          </w:p>
        </w:tc>
      </w:tr>
      <w:tr>
        <w:tc>
          <w:tcPr>
            <w:tcW w:type="dxa" w:w="4320"/>
          </w:tcPr>
          <w:p>
            <w:r>
              <w:t>Методология исследования</w:t>
            </w:r>
          </w:p>
        </w:tc>
        <w:tc>
          <w:tcPr>
            <w:tcW w:type="dxa" w:w="4320"/>
          </w:tcPr>
          <w:p>
            <w:r>
              <w:t>Скрининг; период(ы) дозирования; отмывка; период наблюдения. Отбор образцов крови для PK по утвержденному расписанию.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t>Здоровые добровольцы; пол и возраст уточняются.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t>Возраст 18-55 лет.</w:t>
              <w:br/>
              <w:t>ИМТ 18-30 кг/м2.</w:t>
              <w:br/>
              <w:t>Отсутствие клинически значимых отклонений по анамнезу, осмотру и лабораторным данным.</w:t>
              <w:br/>
              <w:t>Подписанное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t>Гиперчувствительность к исследуемому препарату/аналогам.</w:t>
              <w:br/>
              <w:t>Клинически значимые сопутствующие заболевания.</w:t>
              <w:br/>
              <w:t>Прием лекарств, влияющих на PK, в период скрининга/исследования.</w:t>
              <w:br/>
              <w:t>Беременность или лактация.</w:t>
            </w:r>
          </w:p>
        </w:tc>
      </w:tr>
      <w:tr>
        <w:tc>
          <w:tcPr>
            <w:tcW w:type="dxa" w:w="4320"/>
          </w:tcPr>
          <w:p>
            <w:r>
              <w:t>Фармакокинетические параметры</w:t>
            </w:r>
          </w:p>
        </w:tc>
        <w:tc>
          <w:tcPr>
            <w:tcW w:type="dxa" w:w="4320"/>
          </w:tcPr>
          <w:p>
            <w:r>
              <w:t>Cmax, AUC0-t, AUC0-inf (при применимости), Tmax, t1/2.</w:t>
            </w:r>
          </w:p>
        </w:tc>
      </w:tr>
      <w:tr>
        <w:tc>
          <w:tcPr>
            <w:tcW w:type="dxa" w:w="4320"/>
          </w:tcPr>
          <w:p>
            <w:r>
              <w:t>Биоаналитические методы</w:t>
            </w:r>
          </w:p>
        </w:tc>
        <w:tc>
          <w:tcPr>
            <w:tcW w:type="dxa" w:w="4320"/>
          </w:tcPr>
          <w:p>
            <w:r>
              <w:t>Количественное определение концентраций в плазме валидированным методом (например, LC-MS/MS) с оценкой точности, прецизионности, LLOQ и стабильности.</w:t>
            </w:r>
          </w:p>
        </w:tc>
      </w:tr>
      <w:tr>
        <w:tc>
          <w:tcPr>
            <w:tcW w:type="dxa" w:w="4320"/>
          </w:tcPr>
          <w:p>
            <w:r>
              <w:t>Временная структура исследования (таймпоинты)</w:t>
            </w:r>
          </w:p>
        </w:tc>
        <w:tc>
          <w:tcPr>
            <w:tcW w:type="dxa" w:w="4320"/>
          </w:tcPr>
          <w:p>
            <w:r>
              <w:t>Преддозовый и постдозовые таймпоинты, охватывающие Tmax и терминальную фазу (не менее 3-5 t1/2); финальная точка для AUC0-t.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t>N_det is not computed due to Data Quality (Red Flag) / missing primary endpoints.; N_risk not computed (requires CV range/distribution)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t>Рандомизация 1:1 по последовательностям (TRTR / RTRT).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t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      </w:r>
          </w:p>
        </w:tc>
      </w:tr>
      <w:tr>
        <w:tc>
          <w:tcPr>
            <w:tcW w:type="dxa" w:w="4320"/>
          </w:tcPr>
          <w:p>
            <w:r>
              <w:t>План мониторинга безопасности</w:t>
            </w:r>
          </w:p>
        </w:tc>
        <w:tc>
          <w:tcPr>
            <w:tcW w:type="dxa" w:w="4320"/>
          </w:tcPr>
          <w:p>
            <w:r>
              <w:t>Мониторинг НЯ/СНЯ, витальных показателей, ЭКГ и лабораторных параметров на протяжении всего исследования и периода наблюдения.</w:t>
            </w:r>
          </w:p>
        </w:tc>
      </w:tr>
      <w:tr>
        <w:tc>
          <w:tcPr>
            <w:tcW w:type="dxa" w:w="4320"/>
          </w:tcPr>
          <w:p>
            <w:r>
              <w:t>Этические и регуляторные аспекты</w:t>
            </w:r>
          </w:p>
        </w:tc>
        <w:tc>
          <w:tcPr>
            <w:tcW w:type="dxa" w:w="4320"/>
          </w:tcPr>
          <w:p>
            <w:r>
              <w:t>Исследование проводится в соответствии с GCP и Хельсинкской декларацией; перед включением — информированное согласие и одобрение ЛЭК.</w:t>
            </w:r>
          </w:p>
        </w:tc>
      </w:tr>
      <w:tr>
        <w:tc>
          <w:tcPr>
            <w:tcW w:type="dxa" w:w="4320"/>
          </w:tcPr>
          <w:p>
            <w:r>
              <w:t>Качество данных (DQI)</w:t>
            </w:r>
          </w:p>
        </w:tc>
        <w:tc>
          <w:tcPr>
            <w:tcW w:type="dxa" w:w="4320"/>
          </w:tcPr>
          <w:p>
            <w:r>
              <w:t>red (score: 0)</w:t>
            </w:r>
          </w:p>
        </w:tc>
      </w:tr>
      <w:tr>
        <w:tc>
          <w:tcPr>
            <w:tcW w:type="dxa" w:w="4320"/>
          </w:tcPr>
          <w:p>
            <w:r>
              <w:t>Регуляторные замечания / Open Questions</w:t>
            </w:r>
          </w:p>
        </w:tc>
        <w:tc>
          <w:tcPr>
            <w:tcW w:type="dxa" w:w="4320"/>
          </w:tcPr>
          <w:p>
            <w:r>
              <w:t>Подтвердите релевантность источников (human, BE/PK, сопоставимые условия fed/fasted)., Select protocol condition: fed/fasted, Подтвердите релевантность источников (human, BE/PK, сопоставимые условия fed/fasted)., Подтвердите/уточните ключевые PK параметры (AUC, Cmax, t1/2 или признак long half-life)., Подтвердите источник CVintra (reported/derived/manual/variability_range) и применимость к параметрам AUC/Cmax., Если часть чисел без evidence — добавьте PMID/таблицу/фрагмент текста., Select protocol condition: fed/fasted, Confirm which PK/CI values correspond to the chosen condition, Provide content for section: Название клинического исследования, Provide content for section: Спонсор исследования, DQI: Hard Red Flag: Missing primary PK endpoints (AUC and Cmax).</w:t>
            </w:r>
          </w:p>
        </w:tc>
      </w:tr>
      <w:tr>
        <w:tc>
          <w:tcPr>
            <w:tcW w:type="dxa" w:w="4320"/>
          </w:tcPr>
          <w:p>
            <w:r>
              <w:t>Библиографический список источников</w:t>
            </w:r>
          </w:p>
        </w:tc>
        <w:tc>
          <w:tcPr>
            <w:tcW w:type="dxa" w:w="4320"/>
          </w:tcPr>
          <w:p>
            <w:r>
              <w:t>См. ниже</w:t>
            </w:r>
          </w:p>
        </w:tc>
      </w:tr>
    </w:tbl>
    <w:p/>
    <w:p>
      <w:pPr>
        <w:spacing w:before="240" w:after="120"/>
      </w:pPr>
      <w:r>
        <w:rPr>
          <w:b/>
        </w:rPr>
        <w:t>Библиографический список источников</w:t>
      </w:r>
    </w:p>
    <w:p>
      <w:r>
        <w:t>1. Bioequivalence assessment between two formulations of a film-coated fixed-dose combination of metformin and vildagliptin (850/50mg) in healthy Tunisian subjects under fed conditions. (2026) PMID:41651891</w:t>
      </w:r>
    </w:p>
    <w:p>
      <w:r>
        <w:t>2. Green evaluation of human plasma levels of metformin, linagliptin, and empagliflozin using HPLC and HPTLC methods: a pharmacokinetic study. (2026) PMID:41634845</w:t>
      </w:r>
    </w:p>
    <w:p>
      <w:r>
        <w:t>3. Pharmacokinetic comparison between fixed-dose combination and loose combination of enavogliflozin 0.3 mg and metformin HCl 1000 mg in healthy subjects under fasting and fed conditions. (2026) PMID:41579170</w:t>
      </w:r>
    </w:p>
    <w:p>
      <w:r>
        <w:t>4. Bioequivalence Evaluation of Two Metformin/Empagliflozin Fixed-Dose Combination Tablets in Healthy Chinese Subjects Under Fasting and Fed Conditions: A Randomized, Open-Label, Crossover Study. (2026) PMID:41578725</w:t>
      </w:r>
    </w:p>
    <w:p>
      <w:r>
        <w:t>5. Ketone supplementation dose-dependently lowers postprandial blood glucose, lipid and ghrelin levels in individuals with type 2 diabetes: a randomised crossover study. (2026) PMID:41315088</w:t>
      </w:r>
    </w:p>
    <w:p>
      <w:r>
        <w:t>6. Metformin in the Horse: Pharmacokinetics and Detection Times Using Monte Carlo Simulations. (2026) PMID:41261763</w:t>
      </w:r>
    </w:p>
    <w:p>
      <w:r>
        <w:t>7. Bioequivalence and pharmacokinetic prediction of oral marketed metformin extended-release tablets in Saudi Arabia. (2026) PMID:41206775</w:t>
      </w:r>
    </w:p>
    <w:p>
      <w:r>
        <w:t>8. Virtual Bioequivalence Assessment and Dissolution Safe Space Exploration for Fixed-Dose Metformin-Glyburide Tablet Using Physiologically Based Biopharmaceutics Modeling. (2025) PMID:41155987</w:t>
      </w:r>
    </w:p>
    <w:p>
      <w:r>
        <w:t>9. Pharmacokinetic and Pharmacodynamic Interaction of Metformin and Ojeok-san in Healthy Volunteers. (2025) PMID:40951699</w:t>
      </w:r>
    </w:p>
    <w:p>
      <w:r>
        <w:t>10. Bioequivalence and Pharmacokinetic Evaluation of Two Metformin Hydrochloride Tablets Under Fasting and Fed Conditions in Healthy Chinese Volunteers. (2025) PMID:40839056</w:t>
      </w:r>
    </w:p>
    <w:p>
      <w:r>
        <w:t>11. Bioequivalence assessment between two formulations of a film-coated fixed-dose combination of metformin and vildagliptin (850/50mg) in healthy Tunisian subjects under fed conditions. (2026) PMID:PMCID:12886820</w:t>
      </w:r>
    </w:p>
    <w:p>
      <w:r>
        <w:t>12. Metformin in the Horse: Pharmacokinetics and Detection Times Using Monte Carlo Simulations. (2026) PMID:PMCID:12796554</w:t>
      </w:r>
    </w:p>
    <w:p>
      <w:r>
        <w:t>13. Rapid and selective gut microbiome modulation by polyherbal formulation in type 2 diabetes. (2026) PMID:PMCID:12793969</w:t>
      </w:r>
    </w:p>
    <w:p>
      <w:r>
        <w:t>14. Reduced Metformin Concentrations in Obese Women With Human Immunodeficiency Virus Treated With Dolutegravir. (2025) PMID:PMCID:12531128</w:t>
      </w:r>
    </w:p>
    <w:p>
      <w:r>
        <w:t>15. Virtual Bioequivalence Assessment and Dissolution Safe Space Exploration for Fixed-Dose Metformin-Glyburide Tablet Using Physiologically Based Biopharmaceutics Modeling. (2025) PMID:PMCID:12566952</w:t>
      </w:r>
    </w:p>
    <w:p>
      <w:r>
        <w:t>16. Pharmacokinetic and Pharmacodynamic Interaction of Metformin and Ojeok-san in Healthy Volunteers. (2025) PMID:PMCID:12423445</w:t>
      </w:r>
    </w:p>
    <w:p>
      <w:r>
        <w:t>17. Bioequivalence and Pharmacokinetic Evaluation of Two Metformin Hydrochloride Tablets Under Fasting and Fed Conditions in Healthy Chinese Volunteers. (2025) PMID:PMCID:12394267</w:t>
      </w:r>
    </w:p>
    <w:p>
      <w:r>
        <w:t>18. Comparative evaluation of quality attributes among six different brands of metformin hydrochloride tablets marketed in Bahir Dar city, Ethiopia. (2025) PMID:PMCID:12333786</w:t>
      </w:r>
    </w:p>
    <w:p>
      <w:r>
        <w:t>19. Short-term Metformin Protects Against Glucocorticoid-Induced Toxicity in Healthy Individuals: A Randomized, Double-Blind, Placebo-Controlled Trial. (2025) PMID:PMCID:12034906</w:t>
      </w:r>
    </w:p>
    <w:p>
      <w:r>
        <w:t>20. The Pharmacokinetic Interaction Between Metformin and the Natural Product Goldenseal Is Metformin Dose-Dependent: A Three-Arm Crossover Study in Adults With Type 2 Diabetes. (2025) PMID:PMCID:11821731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