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8"/>
        </w:rPr>
        <w:t>СИНОПСИС ПРОТОКОЛА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Секция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>
              <w:t>Название клинического исследования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Номер исследования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Спонсор исследования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Фаза клинического исследования</w:t>
            </w:r>
          </w:p>
        </w:tc>
        <w:tc>
          <w:tcPr>
            <w:tcW w:type="dxa" w:w="4320"/>
          </w:tcPr>
          <w:p>
            <w:r>
              <w:t>Исследование биоэквивалентности</w:t>
            </w:r>
          </w:p>
        </w:tc>
      </w:tr>
      <w:tr>
        <w:tc>
          <w:tcPr>
            <w:tcW w:type="dxa" w:w="4320"/>
          </w:tcPr>
          <w:p>
            <w:r>
              <w:t>Действующее вещество</w:t>
            </w:r>
          </w:p>
        </w:tc>
        <w:tc>
          <w:tcPr>
            <w:tcW w:type="dxa" w:w="4320"/>
          </w:tcPr>
          <w:p>
            <w:r>
              <w:t>test</w:t>
            </w:r>
          </w:p>
        </w:tc>
      </w:tr>
      <w:tr>
        <w:tc>
          <w:tcPr>
            <w:tcW w:type="dxa" w:w="4320"/>
          </w:tcPr>
          <w:p>
            <w:r>
              <w:t>Лекарственная форма и дозировка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Цель исследования</w:t>
            </w:r>
          </w:p>
        </w:tc>
        <w:tc>
          <w:tcPr>
            <w:tcW w:type="dxa" w:w="4320"/>
          </w:tcPr>
          <w:p>
            <w:r>
              <w:t>Оценка биоэквивалентности тестового и референтного препаратов действующего вещества test у здоровых добровольцев.</w:t>
            </w:r>
          </w:p>
        </w:tc>
      </w:tr>
      <w:tr>
        <w:tc>
          <w:tcPr>
            <w:tcW w:type="dxa" w:w="4320"/>
          </w:tcPr>
          <w:p>
            <w:r>
              <w:t>Задачи исследования</w:t>
            </w:r>
          </w:p>
        </w:tc>
        <w:tc>
          <w:tcPr>
            <w:tcW w:type="dxa" w:w="4320"/>
          </w:tcPr>
          <w:p>
            <w:r>
              <w:t>1. Определить фармакокинетические параметры (Cmax, AUC0-t, AUC0-inf) тестового и референтного препаратов.</w:t>
              <w:br/>
              <w:t>2. Провести статистическое сравнение PK-параметров для оценки биоэквивалентности.</w:t>
              <w:br/>
              <w:t>3. Оценить безопасность и переносимость препаратов.</w:t>
            </w:r>
          </w:p>
        </w:tc>
      </w:tr>
      <w:tr>
        <w:tc>
          <w:tcPr>
            <w:tcW w:type="dxa" w:w="4320"/>
          </w:tcPr>
          <w:p>
            <w:r>
              <w:t>Первичные конечные точки</w:t>
            </w:r>
          </w:p>
        </w:tc>
        <w:tc>
          <w:tcPr>
            <w:tcW w:type="dxa" w:w="4320"/>
          </w:tcPr>
          <w:p>
            <w:r>
              <w:t>Cmax, AUC0-t (90% ДИ отношения геометрических средних: 80.00–125.00%).</w:t>
            </w:r>
          </w:p>
        </w:tc>
      </w:tr>
      <w:tr>
        <w:tc>
          <w:tcPr>
            <w:tcW w:type="dxa" w:w="4320"/>
          </w:tcPr>
          <w:p>
            <w:r>
              <w:t>Вторичные конечные точки</w:t>
            </w:r>
          </w:p>
        </w:tc>
        <w:tc>
          <w:tcPr>
            <w:tcW w:type="dxa" w:w="4320"/>
          </w:tcPr>
          <w:p>
            <w:r>
              <w:t>Tmax, t1/2, AUC0-inf (при применимости), показатели безопасности.</w:t>
            </w:r>
          </w:p>
        </w:tc>
      </w:tr>
      <w:tr>
        <w:tc>
          <w:tcPr>
            <w:tcW w:type="dxa" w:w="4320"/>
          </w:tcPr>
          <w:p>
            <w:r>
              <w:t>Дизайн исследования</w:t>
            </w:r>
          </w:p>
        </w:tc>
        <w:tc>
          <w:tcPr>
            <w:tcW w:type="dxa" w:w="4320"/>
          </w:tcPr>
          <w:p>
            <w:r>
              <w:t>Дизайн: 2x2_crossover (базовый вариант); Периоды: 2; Последовательности: TR / RT; Рандомизация: Рандомизация 1:1 по последовательностям (TR / RT).</w:t>
            </w:r>
          </w:p>
        </w:tc>
      </w:tr>
      <w:tr>
        <w:tc>
          <w:tcPr>
            <w:tcW w:type="dxa" w:w="4320"/>
          </w:tcPr>
          <w:p>
            <w:r>
              <w:t>Обоснование дизайна</w:t>
            </w:r>
          </w:p>
        </w:tc>
        <w:tc>
          <w:tcPr>
            <w:tcW w:type="dxa" w:w="4320"/>
          </w:tcPr>
          <w:p>
            <w:r>
              <w:t>Обоснование основано на регуляторных требованиях к BE, оценке вариабельности (CVintra), PK-параметров (Cmax/AUC), а также длительности t1/2 и режима fed/fasted.</w:t>
            </w:r>
          </w:p>
        </w:tc>
      </w:tr>
      <w:tr>
        <w:tc>
          <w:tcPr>
            <w:tcW w:type="dxa" w:w="4320"/>
          </w:tcPr>
          <w:p>
            <w:r>
              <w:t>Методология исследования</w:t>
            </w:r>
          </w:p>
        </w:tc>
        <w:tc>
          <w:tcPr>
            <w:tcW w:type="dxa" w:w="4320"/>
          </w:tcPr>
          <w:p>
            <w:r>
              <w:t>Скрининг; период(ы) дозирования; отмывка; период наблюдения. Отбор образцов крови для PK по утвержденному расписанию.</w:t>
            </w:r>
          </w:p>
        </w:tc>
      </w:tr>
      <w:tr>
        <w:tc>
          <w:tcPr>
            <w:tcW w:type="dxa" w:w="4320"/>
          </w:tcPr>
          <w:p>
            <w:r>
              <w:t>Исследуемая популяция</w:t>
            </w:r>
          </w:p>
        </w:tc>
        <w:tc>
          <w:tcPr>
            <w:tcW w:type="dxa" w:w="4320"/>
          </w:tcPr>
          <w:p>
            <w:r>
              <w:t>Здоровые добровольцы; пол и возраст уточняются.</w:t>
            </w:r>
          </w:p>
        </w:tc>
      </w:tr>
      <w:tr>
        <w:tc>
          <w:tcPr>
            <w:tcW w:type="dxa" w:w="4320"/>
          </w:tcPr>
          <w:p>
            <w:r>
              <w:t>Критерии включения</w:t>
            </w:r>
          </w:p>
        </w:tc>
        <w:tc>
          <w:tcPr>
            <w:tcW w:type="dxa" w:w="4320"/>
          </w:tcPr>
          <w:p>
            <w:r>
              <w:t>Возраст 18-55 лет.</w:t>
              <w:br/>
              <w:t>ИМТ 18-30 кг/м2.</w:t>
              <w:br/>
              <w:t>Отсутствие клинически значимых отклонений по анамнезу, осмотру и лабораторным данным.</w:t>
              <w:br/>
              <w:t>Подписанное информированное согласие.</w:t>
            </w:r>
          </w:p>
        </w:tc>
      </w:tr>
      <w:tr>
        <w:tc>
          <w:tcPr>
            <w:tcW w:type="dxa" w:w="4320"/>
          </w:tcPr>
          <w:p>
            <w:r>
              <w:t>Критерии невключения</w:t>
            </w:r>
          </w:p>
        </w:tc>
        <w:tc>
          <w:tcPr>
            <w:tcW w:type="dxa" w:w="4320"/>
          </w:tcPr>
          <w:p>
            <w:r>
              <w:t>Гиперчувствительность к исследуемому препарату/аналогам.</w:t>
              <w:br/>
              <w:t>Клинически значимые сопутствующие заболевания.</w:t>
              <w:br/>
              <w:t>Прием лекарств, влияющих на PK, в период скрининга/исследования.</w:t>
              <w:br/>
              <w:t>Беременность или лактация.</w:t>
            </w:r>
          </w:p>
        </w:tc>
      </w:tr>
      <w:tr>
        <w:tc>
          <w:tcPr>
            <w:tcW w:type="dxa" w:w="4320"/>
          </w:tcPr>
          <w:p>
            <w:r>
              <w:t>Фармакокинетические параметры</w:t>
            </w:r>
          </w:p>
        </w:tc>
        <w:tc>
          <w:tcPr>
            <w:tcW w:type="dxa" w:w="4320"/>
          </w:tcPr>
          <w:p>
            <w:r>
              <w:t>Cmax, AUC0-t, AUC0-inf (при применимости), Tmax, t1/2.</w:t>
            </w:r>
          </w:p>
        </w:tc>
      </w:tr>
      <w:tr>
        <w:tc>
          <w:tcPr>
            <w:tcW w:type="dxa" w:w="4320"/>
          </w:tcPr>
          <w:p>
            <w:r>
              <w:t>Биоаналитические методы</w:t>
            </w:r>
          </w:p>
        </w:tc>
        <w:tc>
          <w:tcPr>
            <w:tcW w:type="dxa" w:w="4320"/>
          </w:tcPr>
          <w:p>
            <w:r>
              <w:t>Количественное определение концентраций в плазме валидированным методом (например, LC-MS/MS) с оценкой точности, прецизионности, LLOQ и стабильности.</w:t>
            </w:r>
          </w:p>
        </w:tc>
      </w:tr>
      <w:tr>
        <w:tc>
          <w:tcPr>
            <w:tcW w:type="dxa" w:w="4320"/>
          </w:tcPr>
          <w:p>
            <w:r>
              <w:t>Временная структура исследования (таймпоинты)</w:t>
            </w:r>
          </w:p>
        </w:tc>
        <w:tc>
          <w:tcPr>
            <w:tcW w:type="dxa" w:w="4320"/>
          </w:tcPr>
          <w:p>
            <w:r>
              <w:t>Преддозовый и постдозовые таймпоинты, охватывающие Tmax и терминальную фазу (не менее 3-5 t1/2); финальная точка для AUC0-t.</w:t>
            </w:r>
          </w:p>
        </w:tc>
      </w:tr>
      <w:tr>
        <w:tc>
          <w:tcPr>
            <w:tcW w:type="dxa" w:w="4320"/>
          </w:tcPr>
          <w:p>
            <w:r>
              <w:t>Размер выборки</w:t>
            </w:r>
          </w:p>
        </w:tc>
        <w:tc>
          <w:tcPr>
            <w:tcW w:type="dxa" w:w="4320"/>
          </w:tcPr>
          <w:p>
            <w:r>
              <w:t>N_det not computed (requires confirmed CV); N_risk not computed (requires CV range/distribution)</w:t>
            </w:r>
          </w:p>
        </w:tc>
      </w:tr>
      <w:tr>
        <w:tc>
          <w:tcPr>
            <w:tcW w:type="dxa" w:w="4320"/>
          </w:tcPr>
          <w:p>
            <w:r>
              <w:t>Рандомизация</w:t>
            </w:r>
          </w:p>
        </w:tc>
        <w:tc>
          <w:tcPr>
            <w:tcW w:type="dxa" w:w="4320"/>
          </w:tcPr>
          <w:p>
            <w:r>
              <w:t>Рандомизация 1:1 по последовательностям (TR / RT).</w:t>
            </w:r>
          </w:p>
        </w:tc>
      </w:tr>
      <w:tr>
        <w:tc>
          <w:tcPr>
            <w:tcW w:type="dxa" w:w="4320"/>
          </w:tcPr>
          <w:p>
            <w:r>
              <w:t>Статистические методы</w:t>
            </w:r>
          </w:p>
        </w:tc>
        <w:tc>
          <w:tcPr>
            <w:tcW w:type="dxa" w:w="4320"/>
          </w:tcPr>
          <w:p>
            <w:r>
              <w:t>Дисперсионный анализ (ANOVA) логарифмически преобразованных PK-параметров. Расчёт 90% ДИ для отношения геометрических средних Test/Reference. Критерий биоэквивалентности: 80.00% – 125.00% (EAEU, Decision 85).</w:t>
            </w:r>
          </w:p>
        </w:tc>
      </w:tr>
      <w:tr>
        <w:tc>
          <w:tcPr>
            <w:tcW w:type="dxa" w:w="4320"/>
          </w:tcPr>
          <w:p>
            <w:r>
              <w:t>План мониторинга безопасности</w:t>
            </w:r>
          </w:p>
        </w:tc>
        <w:tc>
          <w:tcPr>
            <w:tcW w:type="dxa" w:w="4320"/>
          </w:tcPr>
          <w:p>
            <w:r>
              <w:t>Мониторинг НЯ/СНЯ, витальных показателей, ЭКГ и лабораторных параметров на протяжении всего исследования и периода наблюдения.</w:t>
            </w:r>
          </w:p>
        </w:tc>
      </w:tr>
      <w:tr>
        <w:tc>
          <w:tcPr>
            <w:tcW w:type="dxa" w:w="4320"/>
          </w:tcPr>
          <w:p>
            <w:r>
              <w:t>Этические и регуляторные аспекты</w:t>
            </w:r>
          </w:p>
        </w:tc>
        <w:tc>
          <w:tcPr>
            <w:tcW w:type="dxa" w:w="4320"/>
          </w:tcPr>
          <w:p>
            <w:r>
              <w:t>Исследование проводится в соответствии с GCP и Хельсинкской декларацией; перед включением — информированное согласие и одобрение ЛЭК.</w:t>
            </w:r>
          </w:p>
        </w:tc>
      </w:tr>
      <w:tr>
        <w:tc>
          <w:tcPr>
            <w:tcW w:type="dxa" w:w="4320"/>
          </w:tcPr>
          <w:p>
            <w:r>
              <w:t>Качество данных (DQI)</w:t>
            </w:r>
          </w:p>
        </w:tc>
        <w:tc>
          <w:tcPr>
            <w:tcW w:type="dxa" w:w="4320"/>
          </w:tcPr>
          <w:p>
            <w:r>
              <w:t>red (score: 0)</w:t>
            </w:r>
          </w:p>
        </w:tc>
      </w:tr>
      <w:tr>
        <w:tc>
          <w:tcPr>
            <w:tcW w:type="dxa" w:w="4320"/>
          </w:tcPr>
          <w:p>
            <w:r>
              <w:t>Регуляторные замечания / Open Questions</w:t>
            </w:r>
          </w:p>
        </w:tc>
        <w:tc>
          <w:tcPr>
            <w:tcW w:type="dxa" w:w="4320"/>
          </w:tcPr>
          <w:p>
            <w:r>
              <w:t>No items, Provide content for section: Название клинического исследования, Provide content for section: Номер исследования, Provide content for section: Спонсор исследования, Provide content for section: Регуляторные замечания / Open Questions, DQI: Hard Red Flag: Missing primary PK endpoints (AUC and Cmax).</w:t>
            </w:r>
          </w:p>
        </w:tc>
      </w:tr>
      <w:tr>
        <w:tc>
          <w:tcPr>
            <w:tcW w:type="dxa" w:w="4320"/>
          </w:tcPr>
          <w:p>
            <w:r>
              <w:t>Библиографический список источников</w:t>
            </w:r>
          </w:p>
        </w:tc>
        <w:tc>
          <w:tcPr>
            <w:tcW w:type="dxa" w:w="4320"/>
          </w:tcPr>
          <w:p>
            <w:r>
              <w:t>См. ниже</w:t>
            </w:r>
          </w:p>
        </w:tc>
      </w:tr>
    </w:tbl>
    <w:p/>
    <w:p>
      <w:pPr>
        <w:spacing w:before="240" w:after="120"/>
      </w:pPr>
      <w:r>
        <w:rPr>
          <w:b/>
        </w:rPr>
        <w:t>Библиографический список источников</w:t>
      </w:r>
    </w:p>
    <w:p>
      <w:r>
        <w:t>Источники не указаны.</w:t>
      </w:r>
    </w:p>
    <w:p>
      <w:pPr>
        <w:pStyle w:val="Heading1"/>
      </w:pPr>
      <w:r>
        <w:t>Качество данных (DQI)</w:t>
      </w:r>
    </w:p>
    <w:p>
      <w:r>
        <w:t>Data Quality summary: red (score: 0)</w:t>
      </w:r>
    </w:p>
    <w:p>
      <w:r>
        <w:t>Причины: Hard Red Flag: Missing primary PK endpoints (AUC and Cmax).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