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СИНОПСИС ПРОТОКОЛА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Секция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Название клинического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Номер исследования</w:t>
            </w:r>
          </w:p>
        </w:tc>
        <w:tc>
          <w:tcPr>
            <w:tcW w:type="dxa" w:w="4320"/>
          </w:tcPr>
          <w:p>
            <w:r>
              <w:t>BE-BUD-TEST-02</w:t>
            </w:r>
          </w:p>
        </w:tc>
      </w:tr>
      <w:tr>
        <w:tc>
          <w:tcPr>
            <w:tcW w:type="dxa" w:w="4320"/>
          </w:tcPr>
          <w:p>
            <w:r>
              <w:t>Спонсор исследования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Фаза клинического исследования</w:t>
            </w:r>
          </w:p>
        </w:tc>
        <w:tc>
          <w:tcPr>
            <w:tcW w:type="dxa" w:w="4320"/>
          </w:tcPr>
          <w:p>
            <w:r>
              <w:t>Исследование биоэквивалентности</w:t>
            </w:r>
          </w:p>
        </w:tc>
      </w:tr>
      <w:tr>
        <w:tc>
          <w:tcPr>
            <w:tcW w:type="dxa" w:w="4320"/>
          </w:tcPr>
          <w:p>
            <w:r>
              <w:t>Действующее вещество</w:t>
            </w:r>
          </w:p>
        </w:tc>
        <w:tc>
          <w:tcPr>
            <w:tcW w:type="dxa" w:w="4320"/>
          </w:tcPr>
          <w:p>
            <w:r>
              <w:t>budesonide</w:t>
            </w:r>
          </w:p>
        </w:tc>
      </w:tr>
      <w:tr>
        <w:tc>
          <w:tcPr>
            <w:tcW w:type="dxa" w:w="4320"/>
          </w:tcPr>
          <w:p>
            <w:r>
              <w:t>Лекарственная форма и дозировка</w:t>
            </w:r>
          </w:p>
        </w:tc>
        <w:tc>
          <w:tcPr>
            <w:tcW w:type="dxa" w:w="4320"/>
          </w:tcPr>
          <w:p>
            <w:r>
              <w:t>capsule, 0.5 mg</w:t>
            </w:r>
          </w:p>
        </w:tc>
      </w:tr>
      <w:tr>
        <w:tc>
          <w:tcPr>
            <w:tcW w:type="dxa" w:w="4320"/>
          </w:tcPr>
          <w:p>
            <w:r>
              <w:t>Цель исследования</w:t>
            </w:r>
          </w:p>
        </w:tc>
        <w:tc>
          <w:tcPr>
            <w:tcW w:type="dxa" w:w="4320"/>
          </w:tcPr>
          <w:p>
            <w:r>
              <w:t>Оценка биоэквивалентности тестового и референтного препаратов действующего вещества budesonide у здоровых добровольцев.</w:t>
            </w:r>
          </w:p>
        </w:tc>
      </w:tr>
      <w:tr>
        <w:tc>
          <w:tcPr>
            <w:tcW w:type="dxa" w:w="4320"/>
          </w:tcPr>
          <w:p>
            <w:r>
              <w:t>Задачи исследования</w:t>
            </w:r>
          </w:p>
        </w:tc>
        <w:tc>
          <w:tcPr>
            <w:tcW w:type="dxa" w:w="4320"/>
          </w:tcPr>
          <w:p>
            <w:r>
              <w:t>1. Определить фармакокинетические параметры (Cmax, AUC0-t, AUC0-inf) тестового и референтного препаратов.</w:t>
              <w:br/>
              <w:t>2. Провести статистическое сравнение PK-параметров для оценки биоэквивалентности.</w:t>
              <w:br/>
              <w:t>3. Оценить безопасность и переносимость препаратов.</w:t>
            </w:r>
          </w:p>
        </w:tc>
      </w:tr>
      <w:tr>
        <w:tc>
          <w:tcPr>
            <w:tcW w:type="dxa" w:w="4320"/>
          </w:tcPr>
          <w:p>
            <w:r>
              <w:t>Первичные конечные точки</w:t>
            </w:r>
          </w:p>
        </w:tc>
        <w:tc>
          <w:tcPr>
            <w:tcW w:type="dxa" w:w="4320"/>
          </w:tcPr>
          <w:p>
            <w:r>
              <w:t>Cmax, AUC0-t (90% ДИ отношения геометрических средних: 80.00–125.00%).</w:t>
            </w:r>
          </w:p>
        </w:tc>
      </w:tr>
      <w:tr>
        <w:tc>
          <w:tcPr>
            <w:tcW w:type="dxa" w:w="4320"/>
          </w:tcPr>
          <w:p>
            <w:r>
              <w:t>Вторичные конечные точки</w:t>
            </w:r>
          </w:p>
        </w:tc>
        <w:tc>
          <w:tcPr>
            <w:tcW w:type="dxa" w:w="4320"/>
          </w:tcPr>
          <w:p>
            <w:r>
              <w:t>Tmax, t1/2, AUC0-inf (при применимости), показатели безопасности.</w:t>
            </w:r>
          </w:p>
        </w:tc>
      </w:tr>
      <w:tr>
        <w:tc>
          <w:tcPr>
            <w:tcW w:type="dxa" w:w="4320"/>
          </w:tcPr>
          <w:p>
            <w:r>
              <w:t>Дизайн исследования</w:t>
            </w:r>
          </w:p>
        </w:tc>
        <w:tc>
          <w:tcPr>
            <w:tcW w:type="dxa" w:w="4320"/>
          </w:tcPr>
          <w:p>
            <w:r>
              <w:t>Дизайн: replicate; Режим приёма: fasted; Периоды: 4; Последовательности: TRTR / RTRT; Период отмывки: 7 дн.; Рандомизация: Рандомизация 1:1 по последовательностям (TRTR / RTRT).</w:t>
            </w:r>
          </w:p>
        </w:tc>
      </w:tr>
      <w:tr>
        <w:tc>
          <w:tcPr>
            <w:tcW w:type="dxa" w:w="4320"/>
          </w:tcPr>
          <w:p>
            <w:r>
              <w:t>Обоснование дизайна</w:t>
            </w:r>
          </w:p>
        </w:tc>
        <w:tc>
          <w:tcPr>
            <w:tcW w:type="dxa" w:w="4320"/>
          </w:tcPr>
          <w:p>
            <w:r>
              <w:t>Highly variable drug (CVintra &gt;= 30%): replicate design recommended.</w:t>
            </w:r>
          </w:p>
        </w:tc>
      </w:tr>
      <w:tr>
        <w:tc>
          <w:tcPr>
            <w:tcW w:type="dxa" w:w="4320"/>
          </w:tcPr>
          <w:p>
            <w:r>
              <w:t>Методология исследования</w:t>
            </w:r>
          </w:p>
        </w:tc>
        <w:tc>
          <w:tcPr>
            <w:tcW w:type="dxa" w:w="4320"/>
          </w:tcPr>
          <w:p>
            <w:r>
              <w:t>Скрининг; период(ы) дозирования; отмывка; период наблюдения. Отбор образцов крови для PK по утвержденному расписанию.</w:t>
            </w:r>
          </w:p>
        </w:tc>
      </w:tr>
      <w:tr>
        <w:tc>
          <w:tcPr>
            <w:tcW w:type="dxa" w:w="4320"/>
          </w:tcPr>
          <w:p>
            <w:r>
              <w:t>Исследуемая популяция</w:t>
            </w:r>
          </w:p>
        </w:tc>
        <w:tc>
          <w:tcPr>
            <w:tcW w:type="dxa" w:w="4320"/>
          </w:tcPr>
          <w:p>
            <w:r>
              <w:t>Здоровые добровольцы; пол и возраст уточняются.</w:t>
            </w:r>
          </w:p>
        </w:tc>
      </w:tr>
      <w:tr>
        <w:tc>
          <w:tcPr>
            <w:tcW w:type="dxa" w:w="4320"/>
          </w:tcPr>
          <w:p>
            <w:r>
              <w:t>Критерии включения</w:t>
            </w:r>
          </w:p>
        </w:tc>
        <w:tc>
          <w:tcPr>
            <w:tcW w:type="dxa" w:w="4320"/>
          </w:tcPr>
          <w:p>
            <w:r>
              <w:t>Возраст 18-55 лет.</w:t>
              <w:br/>
              <w:t>ИМТ 18-30 кг/м2.</w:t>
              <w:br/>
              <w:t>Отсутствие клинически значимых отклонений по анамнезу, осмотру и лабораторным данным.</w:t>
              <w:br/>
              <w:t>Подписанное информированное согласие.</w:t>
            </w:r>
          </w:p>
        </w:tc>
      </w:tr>
      <w:tr>
        <w:tc>
          <w:tcPr>
            <w:tcW w:type="dxa" w:w="4320"/>
          </w:tcPr>
          <w:p>
            <w:r>
              <w:t>Критерии невключения</w:t>
            </w:r>
          </w:p>
        </w:tc>
        <w:tc>
          <w:tcPr>
            <w:tcW w:type="dxa" w:w="4320"/>
          </w:tcPr>
          <w:p>
            <w:r>
              <w:t>Гиперчувствительность к исследуемому препарату/аналогам.</w:t>
              <w:br/>
              <w:t>Клинически значимые сопутствующие заболевания.</w:t>
              <w:br/>
              <w:t>Прием лекарств, влияющих на PK, в период скрининга/исследования.</w:t>
              <w:br/>
              <w:t>Беременность или лактация.</w:t>
            </w:r>
          </w:p>
        </w:tc>
      </w:tr>
      <w:tr>
        <w:tc>
          <w:tcPr>
            <w:tcW w:type="dxa" w:w="4320"/>
          </w:tcPr>
          <w:p>
            <w:r>
              <w:t>Фармакокинетические параметры</w:t>
            </w:r>
          </w:p>
        </w:tc>
        <w:tc>
          <w:tcPr>
            <w:tcW w:type="dxa" w:w="4320"/>
          </w:tcPr>
          <w:p>
            <w:r>
              <w:t>Cmax, AUC0-t, AUC0-inf (при применимости), Tmax, t1/2.</w:t>
            </w:r>
          </w:p>
        </w:tc>
      </w:tr>
      <w:tr>
        <w:tc>
          <w:tcPr>
            <w:tcW w:type="dxa" w:w="4320"/>
          </w:tcPr>
          <w:p>
            <w:r>
              <w:t>Биоаналитические методы</w:t>
            </w:r>
          </w:p>
        </w:tc>
        <w:tc>
          <w:tcPr>
            <w:tcW w:type="dxa" w:w="4320"/>
          </w:tcPr>
          <w:p>
            <w:r>
              <w:t>Количественное определение концентраций в плазме валидированным методом (например, LC-MS/MS) с оценкой точности, прецизионности, LLOQ и стабильности.</w:t>
            </w:r>
          </w:p>
        </w:tc>
      </w:tr>
      <w:tr>
        <w:tc>
          <w:tcPr>
            <w:tcW w:type="dxa" w:w="4320"/>
          </w:tcPr>
          <w:p>
            <w:r>
              <w:t>Временная структура исследования (таймпоинты)</w:t>
            </w:r>
          </w:p>
        </w:tc>
        <w:tc>
          <w:tcPr>
            <w:tcW w:type="dxa" w:w="4320"/>
          </w:tcPr>
          <w:p>
            <w:r>
              <w:t>Преддозовый и постдозовые таймпоинты, охватывающие Tmax и терминальную фазу (не менее 3-5 t1/2); финальная точка для AUC0-t.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N_det is not computed due to Data Quality (Red Flag) / missing primary endpoints.; N_risk not computed (requires CV range/distribution)</w:t>
            </w:r>
          </w:p>
        </w:tc>
      </w:tr>
      <w:tr>
        <w:tc>
          <w:tcPr>
            <w:tcW w:type="dxa" w:w="4320"/>
          </w:tcPr>
          <w:p>
            <w:r>
              <w:t>Рандомизация</w:t>
            </w:r>
          </w:p>
        </w:tc>
        <w:tc>
          <w:tcPr>
            <w:tcW w:type="dxa" w:w="4320"/>
          </w:tcPr>
          <w:p>
            <w:r>
              <w:t>Рандомизация 1:1 по последовательностям (TRTR / RTRT).</w:t>
            </w:r>
          </w:p>
        </w:tc>
      </w:tr>
      <w:tr>
        <w:tc>
          <w:tcPr>
            <w:tcW w:type="dxa" w:w="4320"/>
          </w:tcPr>
          <w:p>
            <w:r>
              <w:t>Статистические методы</w:t>
            </w:r>
          </w:p>
        </w:tc>
        <w:tc>
          <w:tcPr>
            <w:tcW w:type="dxa" w:w="4320"/>
          </w:tcPr>
          <w:p>
            <w:r>
              <w:t>Дисперсионный анализ (ANOVA) логарифмически преобразованных PK-параметров. Расчёт 90% ДИ для отношения геометрических средних Test/Reference. Критерий биоэквивалентности: 80.00% – 125.00% (EAEU, Decision 85).</w:t>
            </w:r>
          </w:p>
        </w:tc>
      </w:tr>
      <w:tr>
        <w:tc>
          <w:tcPr>
            <w:tcW w:type="dxa" w:w="4320"/>
          </w:tcPr>
          <w:p>
            <w:r>
              <w:t>План мониторинга безопасности</w:t>
            </w:r>
          </w:p>
        </w:tc>
        <w:tc>
          <w:tcPr>
            <w:tcW w:type="dxa" w:w="4320"/>
          </w:tcPr>
          <w:p>
            <w:r>
              <w:t>Мониторинг НЯ/СНЯ, витальных показателей, ЭКГ и лабораторных параметров на протяжении всего исследования и периода наблюдения.</w:t>
            </w:r>
          </w:p>
        </w:tc>
      </w:tr>
      <w:tr>
        <w:tc>
          <w:tcPr>
            <w:tcW w:type="dxa" w:w="4320"/>
          </w:tcPr>
          <w:p>
            <w:r>
              <w:t>Этические и регуляторные аспекты</w:t>
            </w:r>
          </w:p>
        </w:tc>
        <w:tc>
          <w:tcPr>
            <w:tcW w:type="dxa" w:w="4320"/>
          </w:tcPr>
          <w:p>
            <w:r>
              <w:t>Исследование проводится в соответствии с GCP и Хельсинкской декларацией; перед включением — информированное согласие и одобрение ЛЭК.</w:t>
            </w:r>
          </w:p>
        </w:tc>
      </w:tr>
      <w:tr>
        <w:tc>
          <w:tcPr>
            <w:tcW w:type="dxa" w:w="4320"/>
          </w:tcPr>
          <w:p>
            <w:r>
              <w:t>Качество данных (DQI)</w:t>
            </w:r>
          </w:p>
        </w:tc>
        <w:tc>
          <w:tcPr>
            <w:tcW w:type="dxa" w:w="4320"/>
          </w:tcPr>
          <w:p>
            <w:r>
              <w:t>red (score: 0)</w:t>
            </w:r>
          </w:p>
        </w:tc>
      </w:tr>
      <w:tr>
        <w:tc>
          <w:tcPr>
            <w:tcW w:type="dxa" w:w="4320"/>
          </w:tcPr>
          <w:p>
            <w:r>
              <w:t>Регуляторные замечания / Open Questions</w:t>
            </w:r>
          </w:p>
        </w:tc>
        <w:tc>
          <w:tcPr>
            <w:tcW w:type="dxa" w:w="4320"/>
          </w:tcPr>
          <w:p>
            <w:r>
              <w:t>Подтвердите релевантность источников (human, BE/PK, сопоставимые условия fed/fasted)., Provide AUC(0-t), Cmax, and t1/2 (or lambda_z) as required by Decision 85., Select protocol condition: fed/fasted, Подтвердите релевантность источников (human, BE/PK, сопоставимые условия fed/fasted)., Подтвердите/уточните ключевые PK параметры (AUC, Cmax, t1/2 или признак long half-life)., Подтвердите источник CVintra (reported/derived/manual/variability_range) и применимость к параметрам AUC/Cmax., Если часть чисел без evidence — добавьте PMID/таблицу/фрагмент текста., Provide AUC(0-t), Cmax, and t1/2 (or lambda_z) as required by Decision 85., Select protocol condition: fed/fasted, Confirm which PK/CI values correspond to the chosen condition, Provide content for section: Название клинического исследования, Provide content for section: Спонсор исследования, DQI: Hard Red Flag: Missing primary PK endpoints (AUC and Cmax)., DQI: Missing required PK parameters: AUC(0-t), Cmax, t1/2 or lambda_z., DQI: CI values not available.</w:t>
            </w:r>
          </w:p>
        </w:tc>
      </w:tr>
      <w:tr>
        <w:tc>
          <w:tcPr>
            <w:tcW w:type="dxa" w:w="4320"/>
          </w:tcPr>
          <w:p>
            <w:r>
              <w:t>Библиографический список источников</w:t>
            </w:r>
          </w:p>
        </w:tc>
        <w:tc>
          <w:tcPr>
            <w:tcW w:type="dxa" w:w="4320"/>
          </w:tcPr>
          <w:p>
            <w:r>
              <w:t>См. ниже</w:t>
            </w:r>
          </w:p>
        </w:tc>
      </w:tr>
    </w:tbl>
    <w:p/>
    <w:p>
      <w:pPr>
        <w:spacing w:before="240" w:after="120"/>
      </w:pPr>
      <w:r>
        <w:rPr>
          <w:b/>
        </w:rPr>
        <w:t>Библиографический список источников</w:t>
      </w:r>
    </w:p>
    <w:p>
      <w:r>
        <w:t>1. Bioequivalence of budesonide/glycopyrrolate/formoterol fumarate with a next-generation propellant versus hydrofluoroalkane-134a in healthy adults: phase I, randomized, double-blind, single-dose, partial-replicate, three-way cross-over lung exposure and total systemic exposure studies. (2026) PMID:41677208</w:t>
      </w:r>
    </w:p>
    <w:p>
      <w:r>
        <w:t>2. Exposure to Budesonide, Glycopyrronium, and Formoterol With a Next-Generation Propellant Does Not Exceed Exposure With Hydrofluoroalkane-134a Propellant When Administered Via Pressurized Metered-Dose Inhaler With a Spacer. (2026) PMID:41344973</w:t>
      </w:r>
    </w:p>
    <w:p>
      <w:r>
        <w:t>3. A Single Dose, Randomized, Open-Label, Cross-Over Bioequivalence Study of Budesonide Pressurized Metered-Dose Inhaler in Healthy Chinese Subjects. (2025) PMID:41318994</w:t>
      </w:r>
    </w:p>
    <w:p>
      <w:r>
        <w:t>4. Comparison of the Pharmacokinetics of Three Budesonide Formulations in Healthy Chinese Subjects. (2026) PMID:40936477</w:t>
      </w:r>
    </w:p>
    <w:p>
      <w:r>
        <w:t>5. Effect of Food on the Pharmacokinetics, Safety, and Tolerability of Budesonide Oral Suspension in Healthy Adult Participants: A Randomized Phase 1 Study. (2025) PMID:39263900</w:t>
      </w:r>
    </w:p>
    <w:p>
      <w:r>
        <w:t>6. Understanding Discordance between In Vitro Dissolution, Local Gut and Systemic Bioequivalence of Budesonide in Healthy and Crohn's Disease Patients through PBPK Modeling. (2023) PMID:37765205</w:t>
      </w:r>
    </w:p>
    <w:p>
      <w:r>
        <w:t>7. Relative bioavailability of budesonide/glycopyrrolate/formoterol fumarate triple therapy delivered using next generation propellants with low global warming potential. (2023) PMID:37607661</w:t>
      </w:r>
    </w:p>
    <w:p>
      <w:r>
        <w:t>8. Effect of inhaled budesonide/formoterol fumarate dihydrate delivered via two different devices on lung function in patients with COPD and low peak inspiratory flow. (2022) PMID:35815354</w:t>
      </w:r>
    </w:p>
    <w:p>
      <w:r>
        <w:t>9. Pharmacokinetics and Bioequivalence of a Generic and a Branded Budesonide Nasal Spray in Healthy Chinese Subjects. (2022) PMID:34783456</w:t>
      </w:r>
    </w:p>
    <w:p>
      <w:r>
        <w:t>10. A sensitive and high-throughput LC-ESI-MS/MS method to detect budesonide in human plasma: application to an evaluation of pharmacokinetics of budesonide intranasal formulations with and without charcoal-block in healthy volunteers. (2021) PMID:33523774</w:t>
      </w:r>
    </w:p>
    <w:p>
      <w:r>
        <w:t>11. Bioequivalence of budesonide/glycopyrrolate/formoterol fumarate with a next-generation propellant versus hydrofluoroalkane-134a in healthy adults: phase I, randomized, double-blind, single-dose, partial-replicate, three-way cross-over lung exposure and total systemic exposure studies. (2026) PMID:PMCID:12901903</w:t>
      </w:r>
    </w:p>
    <w:p>
      <w:r>
        <w:t>12. Integrated Multi-Omic Analysis Identifies Altered Colonic Brush Border Profile as a Key Feature of Microscopic Colitis. (2026) PMID:PMCID:12781189</w:t>
      </w:r>
    </w:p>
    <w:p>
      <w:r>
        <w:t>13. A Single Dose, Randomized, Open-Label, Cross-Over Bioequivalence Study of Budesonide Pressurized Metered-Dose Inhaler in Healthy Chinese Subjects. (2025) PMID:PMCID:12664903</w:t>
      </w:r>
    </w:p>
    <w:p>
      <w:r>
        <w:t>14. Effect of Food on the Pharmacokinetics, Safety, and Tolerability of Budesonide Oral Suspension in Healthy Adult Participants: A Randomized Phase 1 Study. (2025) PMID:PMCID:11771711</w:t>
      </w:r>
    </w:p>
    <w:p>
      <w:r>
        <w:t>15. Understanding Discordance between In Vitro Dissolution, Local Gut and Systemic Bioequivalence of Budesonide in Healthy and Crohn's Disease Patients through PBPK Modeling. (2023) PMID:PMCID:10535222</w:t>
      </w:r>
    </w:p>
    <w:p>
      <w:r>
        <w:t>16. A prospective evaluation on the interaction of fluconazole and voriconazole on serum concentrations of budesonide in patients treated for gastrointestinal GVHD. (2020) PMID:PMCID:9512089</w:t>
      </w:r>
    </w:p>
    <w:p>
      <w:r>
        <w:t>17. Effect of inhaled budesonide/formoterol fumarate dihydrate delivered via two different devices on lung function in patients with COPD and low peak inspiratory flow. (2022) PMID:PMCID:9340410</w:t>
      </w:r>
    </w:p>
    <w:p>
      <w:r>
        <w:t>18. Effect of Particle Size and Viscosity of Suspensions on Topical Ocular Bioavailability of Budesonide, a Corticosteroid. (2020) PMID:PMCID:9041290</w:t>
      </w:r>
    </w:p>
    <w:p>
      <w:r>
        <w:t>19. Ciclesonide versus other inhaled steroids for chronic asthma in children and adults. (2008) PMID:PMCID:8932084</w:t>
      </w:r>
    </w:p>
    <w:p>
      <w:r>
        <w:t>20. Inhaled beclomethasone versus budesonide for chronic asthma. (2002) PMID:PMCID:8717128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