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80"/>
        <w:jc w:val="center"/>
      </w:pPr>
      <w:r>
        <w:rPr>
          <w:rFonts w:ascii="Arial" w:cs="Arial" w:eastAsia="Arial" w:hAnsi="Arial"/>
          <w:b/>
          <w:bCs/>
          <w:color w:val="1B2A4A"/>
          <w:sz w:val="88"/>
          <w:szCs w:val="88"/>
        </w:rPr>
        <w:t xml:space="preserve">LURE</w:t>
      </w:r>
    </w:p>
    <w:p>
      <w:pPr>
        <w:spacing w:before="0" w:after="60"/>
        <w:jc w:val="center"/>
      </w:pPr>
      <w:r>
        <w:rPr>
          <w:rFonts w:ascii="Arial" w:cs="Arial" w:eastAsia="Arial" w:hAnsi="Arial"/>
          <w:color w:val="0D7377"/>
          <w:sz w:val="32"/>
          <w:szCs w:val="32"/>
        </w:rPr>
        <w:t xml:space="preserve">Phishing Analysis &amp; IOC Extraction Platform</w:t>
      </w:r>
    </w:p>
    <w:p>
      <w:pPr>
        <w:pBdr>
          <w:bottom w:val="single" w:color="0D7377" w:sz="4" w:space="6"/>
        </w:pBdr>
        <w:spacing w:before="0" w:after="200"/>
      </w:pPr>
      <w:r>
        <w:t xml:space="preserve"/>
      </w:r>
    </w:p>
    <w:p>
      <w:pPr>
        <w:spacing w:before="80" w:after="0"/>
      </w:pPr>
      <w:r>
        <w:t xml:space="preserve"/>
      </w:r>
    </w:p>
    <w:p>
      <w:pPr>
        <w:spacing w:before="0" w:after="160"/>
        <w:jc w:val="center"/>
      </w:pPr>
      <w:r>
        <w:rPr>
          <w:rFonts w:ascii="Arial" w:cs="Arial" w:eastAsia="Arial" w:hAnsi="Arial"/>
          <w:color w:val="4A5568"/>
          <w:sz w:val="28"/>
          <w:szCs w:val="28"/>
        </w:rPr>
        <w:t xml:space="preserve">Detailed Implementation Plan</w:t>
      </w:r>
    </w:p>
    <w:p>
      <w:pPr>
        <w:spacing w:before="0" w:after="600"/>
        <w:jc w:val="center"/>
      </w:pPr>
      <w:r>
        <w:rPr>
          <w:rFonts w:ascii="Arial" w:cs="Arial" w:eastAsia="Arial" w:hAnsi="Arial"/>
          <w:color w:val="4A5568"/>
          <w:sz w:val="22"/>
          <w:szCs w:val="22"/>
        </w:rPr>
        <w:t xml:space="preserve">Fevra Security Portfolio  ·  February 2026</w:t>
      </w:r>
    </w:p>
    <w:p>
      <w:pPr>
        <w:spacing w:before="300" w:after="0"/>
      </w:pPr>
      <w: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single" w:color="D1D5DB" w:sz="1"/>
              <w:left w:val="single" w:color="D1D5DB" w:sz="1"/>
              <w:bottom w:val="single" w:color="D1D5DB" w:sz="1"/>
              <w:right w:val="single" w:color="D1D5DB" w:sz="1"/>
            </w:tcBorders>
            <w:shd w:fill="F7F8FA" w:val="clear"/>
            <w:tcMar>
              <w:top w:type="dxa" w:w="100"/>
              <w:left w:type="dxa" w:w="140"/>
              <w:bottom w:type="dxa" w:w="100"/>
              <w:right w:type="dxa" w:w="140"/>
            </w:tcMar>
          </w:tcPr>
          <w:p>
            <w:pPr>
              <w:spacing w:before="0" w:after="0"/>
            </w:pPr>
            <w:r>
              <w:rPr>
                <w:rFonts w:ascii="Arial" w:cs="Arial" w:eastAsia="Arial" w:hAnsi="Arial"/>
                <w:b/>
                <w:bCs/>
                <w:color w:val="1B2A4A"/>
                <w:sz w:val="20"/>
                <w:szCs w:val="20"/>
              </w:rPr>
              <w:t xml:space="preserve">Project</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Lure — Phishing Analysis Platform</w:t>
            </w:r>
          </w:p>
        </w:tc>
      </w:tr>
      <w:tr>
        <w:tc>
          <w:tcPr>
            <w:tcW w:type="dxa" w:w="2200"/>
            <w:tcBorders>
              <w:top w:val="single" w:color="D1D5DB" w:sz="1"/>
              <w:left w:val="single" w:color="D1D5DB" w:sz="1"/>
              <w:bottom w:val="single" w:color="D1D5DB" w:sz="1"/>
              <w:right w:val="single" w:color="D1D5DB" w:sz="1"/>
            </w:tcBorders>
            <w:shd w:fill="F7F8FA" w:val="clear"/>
            <w:tcMar>
              <w:top w:type="dxa" w:w="100"/>
              <w:left w:type="dxa" w:w="140"/>
              <w:bottom w:type="dxa" w:w="100"/>
              <w:right w:type="dxa" w:w="140"/>
            </w:tcMar>
          </w:tcPr>
          <w:p>
            <w:pPr>
              <w:spacing w:before="0" w:after="0"/>
            </w:pPr>
            <w:r>
              <w:rPr>
                <w:rFonts w:ascii="Arial" w:cs="Arial" w:eastAsia="Arial" w:hAnsi="Arial"/>
                <w:b/>
                <w:bCs/>
                <w:color w:val="1B2A4A"/>
                <w:sz w:val="20"/>
                <w:szCs w:val="20"/>
              </w:rPr>
              <w:t xml:space="preserve">Version Target</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v1.0.0</w:t>
            </w:r>
          </w:p>
        </w:tc>
      </w:tr>
      <w:tr>
        <w:tc>
          <w:tcPr>
            <w:tcW w:type="dxa" w:w="2200"/>
            <w:tcBorders>
              <w:top w:val="single" w:color="D1D5DB" w:sz="1"/>
              <w:left w:val="single" w:color="D1D5DB" w:sz="1"/>
              <w:bottom w:val="single" w:color="D1D5DB" w:sz="1"/>
              <w:right w:val="single" w:color="D1D5DB" w:sz="1"/>
            </w:tcBorders>
            <w:shd w:fill="F7F8FA" w:val="clear"/>
            <w:tcMar>
              <w:top w:type="dxa" w:w="100"/>
              <w:left w:type="dxa" w:w="140"/>
              <w:bottom w:type="dxa" w:w="100"/>
              <w:right w:type="dxa" w:w="140"/>
            </w:tcMar>
          </w:tcPr>
          <w:p>
            <w:pPr>
              <w:spacing w:before="0" w:after="0"/>
            </w:pPr>
            <w:r>
              <w:rPr>
                <w:rFonts w:ascii="Arial" w:cs="Arial" w:eastAsia="Arial" w:hAnsi="Arial"/>
                <w:b/>
                <w:bCs/>
                <w:color w:val="1B2A4A"/>
                <w:sz w:val="20"/>
                <w:szCs w:val="20"/>
              </w:rPr>
              <w:t xml:space="preserve">Total Phases</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5 Phases over 10 Weeks</w:t>
            </w:r>
          </w:p>
        </w:tc>
      </w:tr>
      <w:tr>
        <w:tc>
          <w:tcPr>
            <w:tcW w:type="dxa" w:w="2200"/>
            <w:tcBorders>
              <w:top w:val="single" w:color="D1D5DB" w:sz="1"/>
              <w:left w:val="single" w:color="D1D5DB" w:sz="1"/>
              <w:bottom w:val="single" w:color="D1D5DB" w:sz="1"/>
              <w:right w:val="single" w:color="D1D5DB" w:sz="1"/>
            </w:tcBorders>
            <w:shd w:fill="F7F8FA" w:val="clear"/>
            <w:tcMar>
              <w:top w:type="dxa" w:w="100"/>
              <w:left w:type="dxa" w:w="140"/>
              <w:bottom w:type="dxa" w:w="100"/>
              <w:right w:type="dxa" w:w="140"/>
            </w:tcMar>
          </w:tcPr>
          <w:p>
            <w:pPr>
              <w:spacing w:before="0" w:after="0"/>
            </w:pPr>
            <w:r>
              <w:rPr>
                <w:rFonts w:ascii="Arial" w:cs="Arial" w:eastAsia="Arial" w:hAnsi="Arial"/>
                <w:b/>
                <w:bCs/>
                <w:color w:val="1B2A4A"/>
                <w:sz w:val="20"/>
                <w:szCs w:val="20"/>
              </w:rPr>
              <w:t xml:space="preserve">Primary Language</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Python 3.11+</w:t>
            </w:r>
          </w:p>
        </w:tc>
      </w:tr>
      <w:tr>
        <w:tc>
          <w:tcPr>
            <w:tcW w:type="dxa" w:w="2200"/>
            <w:tcBorders>
              <w:top w:val="single" w:color="D1D5DB" w:sz="1"/>
              <w:left w:val="single" w:color="D1D5DB" w:sz="1"/>
              <w:bottom w:val="single" w:color="D1D5DB" w:sz="1"/>
              <w:right w:val="single" w:color="D1D5DB" w:sz="1"/>
            </w:tcBorders>
            <w:shd w:fill="F7F8FA" w:val="clear"/>
            <w:tcMar>
              <w:top w:type="dxa" w:w="100"/>
              <w:left w:type="dxa" w:w="140"/>
              <w:bottom w:type="dxa" w:w="100"/>
              <w:right w:type="dxa" w:w="140"/>
            </w:tcMar>
          </w:tcPr>
          <w:p>
            <w:pPr>
              <w:spacing w:before="0" w:after="0"/>
            </w:pPr>
            <w:r>
              <w:rPr>
                <w:rFonts w:ascii="Arial" w:cs="Arial" w:eastAsia="Arial" w:hAnsi="Arial"/>
                <w:b/>
                <w:bCs/>
                <w:color w:val="1B2A4A"/>
                <w:sz w:val="20"/>
                <w:szCs w:val="20"/>
              </w:rPr>
              <w:t xml:space="preserve">Document Status</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Implementation-Ready</w:t>
            </w:r>
          </w:p>
        </w:tc>
      </w:tr>
    </w:tbl>
    <w:p>
      <w:r>
        <w:br w:type="page"/>
      </w:r>
    </w:p>
    <w:p>
      <w:pPr>
        <w:pStyle w:val="Heading1"/>
        <w:pBdr>
          <w:bottom w:val="single" w:color="0D7377" w:sz="8" w:space="6"/>
        </w:pBdr>
        <w:spacing w:before="0" w:after="200"/>
      </w:pPr>
      <w:r>
        <w:rPr>
          <w:rFonts w:ascii="Arial" w:cs="Arial" w:eastAsia="Arial" w:hAnsi="Arial"/>
          <w:b/>
          <w:bCs/>
          <w:color w:val="1B2A4A"/>
          <w:sz w:val="36"/>
          <w:szCs w:val="36"/>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Bdr>
          <w:bottom w:val="single" w:color="0D7377" w:sz="8" w:space="6"/>
        </w:pBdr>
        <w:spacing w:before="0" w:after="200"/>
      </w:pPr>
      <w:bookmarkStart w:name="exec-summary" w:id="1"/>
      <w:r>
        <w:rPr>
          <w:rFonts w:ascii="Arial" w:cs="Arial" w:eastAsia="Arial" w:hAnsi="Arial"/>
          <w:b/>
          <w:bCs/>
          <w:color w:val="1B2A4A"/>
          <w:sz w:val="36"/>
          <w:szCs w:val="36"/>
        </w:rPr>
        <w:t xml:space="preserve">Executive Summary</w:t>
      </w:r>
      <w:bookmarkEnd w:id="1"/>
    </w:p>
    <w:p>
      <w:pPr>
        <w:spacing w:before="60" w:after="100"/>
        <w:jc w:val="left"/>
      </w:pPr>
      <w:r>
        <w:rPr>
          <w:rFonts w:ascii="Arial" w:cs="Arial" w:eastAsia="Arial" w:hAnsi="Arial"/>
          <w:b w:val="false"/>
          <w:bCs w:val="false"/>
          <w:i w:val="false"/>
          <w:iCs w:val="false"/>
          <w:color w:val="4A5568"/>
          <w:sz w:val="22"/>
          <w:szCs w:val="22"/>
        </w:rPr>
        <w:t xml:space="preserve">Lure is a command-line and API-driven phishing analysis platform purpose-built for L1/L2 SOC analysts. Its core value proposition is compressing the 15–45 minute manual email triage workflow into a sub-90-second automated analysis with a complete, structured verdict report.</w:t>
      </w:r>
    </w:p>
    <w:p>
      <w:pPr>
        <w:spacing w:before="80" w:after="0"/>
      </w:pPr>
      <w:r>
        <w:t xml:space="preserve"/>
      </w:r>
    </w:p>
    <w:p>
      <w:pPr>
        <w:spacing w:before="60" w:after="100"/>
        <w:jc w:val="left"/>
      </w:pPr>
      <w:r>
        <w:rPr>
          <w:rFonts w:ascii="Arial" w:cs="Arial" w:eastAsia="Arial" w:hAnsi="Arial"/>
          <w:b w:val="false"/>
          <w:bCs w:val="false"/>
          <w:i w:val="false"/>
          <w:iCs w:val="false"/>
          <w:color w:val="4A5568"/>
          <w:sz w:val="22"/>
          <w:szCs w:val="22"/>
        </w:rPr>
        <w:t xml:space="preserve">The platform ingests .eml and .msg files, orchestrates six analysis modules across a fully async pipeline, and produces output in JSON, HTML, STIX 2.1, and direct integrations with TheHive, Cortex, and MISP.</w:t>
      </w:r>
    </w:p>
    <w:p>
      <w:pPr>
        <w:spacing w:before="120" w:after="0"/>
      </w:pPr>
      <w:r>
        <w:t xml:space="preserve"/>
      </w:r>
    </w:p>
    <w:p>
      <w:pPr>
        <w:pStyle w:val="Heading2"/>
        <w:spacing w:before="300" w:after="120"/>
      </w:pPr>
      <w:bookmarkStart w:name="design-philosophy" w:id="1"/>
      <w:r>
        <w:rPr>
          <w:rFonts w:ascii="Arial" w:cs="Arial" w:eastAsia="Arial" w:hAnsi="Arial"/>
          <w:b/>
          <w:bCs/>
          <w:color w:val="1B2A4A"/>
          <w:sz w:val="28"/>
          <w:szCs w:val="28"/>
        </w:rPr>
        <w:t xml:space="preserve">Design Philosophy</w:t>
      </w:r>
      <w:bookmarkEnd w:id="1"/>
    </w:p>
    <w:p>
      <w:pPr>
        <w:spacing w:before="60" w:after="100"/>
        <w:jc w:val="left"/>
      </w:pPr>
      <w:r>
        <w:rPr>
          <w:rFonts w:ascii="Arial" w:cs="Arial" w:eastAsia="Arial" w:hAnsi="Arial"/>
          <w:b w:val="false"/>
          <w:bCs w:val="false"/>
          <w:i w:val="false"/>
          <w:iCs w:val="false"/>
          <w:color w:val="4A5568"/>
          <w:sz w:val="22"/>
          <w:szCs w:val="22"/>
        </w:rPr>
        <w:t xml:space="preserve">Every click a Tier-1 analyst makes on a suspicious email should be replaceable by a single Lure command. This is not a research tool — it is an operational platform with zero tolerance for crashes, undefined behavior on malformed inputs, or API failures that block a triage workflow.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6"/>
              <w:bottom w:val="single" w:color="0D7377" w:sz="1"/>
              <w:right w:val="single" w:color="0D7377" w:sz="1"/>
            </w:tcBorders>
            <w:shd w:fill="E8F6F6" w:val="clear"/>
            <w:tcMar>
              <w:top w:type="dxa" w:w="120"/>
              <w:left w:type="dxa" w:w="200"/>
              <w:bottom w:type="dxa" w:w="120"/>
              <w:right w:type="dxa" w:w="160"/>
            </w:tcMar>
          </w:tcPr>
          <w:p>
            <w:pPr>
              <w:spacing w:before="0" w:after="60"/>
            </w:pPr>
            <w:r>
              <w:rPr>
                <w:rFonts w:ascii="Arial" w:cs="Arial" w:eastAsia="Arial" w:hAnsi="Arial"/>
                <w:b/>
                <w:bCs/>
                <w:caps/>
                <w:color w:val="0D7377"/>
                <w:sz w:val="20"/>
                <w:szCs w:val="20"/>
              </w:rPr>
              <w:t xml:space="preserve">Core Principle</w:t>
            </w:r>
          </w:p>
          <w:p>
            <w:pPr>
              <w:spacing w:before="0" w:after="0"/>
            </w:pPr>
            <w:r>
              <w:rPr>
                <w:rFonts w:ascii="Arial" w:cs="Arial" w:eastAsia="Arial" w:hAnsi="Arial"/>
                <w:color w:val="4A5568"/>
                <w:sz w:val="21"/>
                <w:szCs w:val="21"/>
              </w:rPr>
              <w:t xml:space="preserve">Lure is analyst-first. Every design decision — async enrichment, graceful API degradation, cached results, one-command invocation — exists to reduce analyst cognitive load and time-to-verdict during a live incident.</w:t>
            </w:r>
          </w:p>
        </w:tc>
      </w:tr>
    </w:tbl>
    <w:p>
      <w:pPr>
        <w:spacing w:before="160" w:after="0"/>
      </w:pPr>
      <w:r>
        <w:t xml:space="preserve"/>
      </w:r>
    </w:p>
    <w:p>
      <w:pPr>
        <w:pStyle w:val="Heading2"/>
        <w:spacing w:before="300" w:after="120"/>
      </w:pPr>
      <w:bookmarkStart w:name="scope:-what-lure-v1.0-covers" w:id="1"/>
      <w:r>
        <w:rPr>
          <w:rFonts w:ascii="Arial" w:cs="Arial" w:eastAsia="Arial" w:hAnsi="Arial"/>
          <w:b/>
          <w:bCs/>
          <w:color w:val="1B2A4A"/>
          <w:sz w:val="28"/>
          <w:szCs w:val="28"/>
        </w:rPr>
        <w:t xml:space="preserve">Scope: What Lure v1.0 Covers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660"/>
      </w:tblGrid>
      <w:tr>
        <w:trPr>
          <w:tblHeader/>
        </w:trPr>
        <w:tc>
          <w:tcPr>
            <w:tcW w:type="dxa" w:w="3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Capability</w:t>
            </w:r>
          </w:p>
        </w:tc>
        <w:tc>
          <w:tcPr>
            <w:tcW w:type="dxa" w:w="2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Coverage</w:t>
            </w:r>
          </w:p>
        </w:tc>
        <w:tc>
          <w:tcPr>
            <w:tcW w:type="dxa" w:w="36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Notes</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Email ingestion</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.eml and .msg files</w:t>
            </w:r>
          </w:p>
        </w:tc>
        <w:tc>
          <w:tcPr>
            <w:tcW w:type="dxa" w:w="36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RFC 5322 + OLE Compound format</w:t>
            </w:r>
          </w:p>
        </w:tc>
      </w:tr>
      <w:tr>
        <w:tc>
          <w:tcPr>
            <w:tcW w:type="dxa" w:w="32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Header forensics</w:t>
            </w:r>
          </w:p>
        </w:tc>
        <w:tc>
          <w:tcPr>
            <w:tcW w:type="dxa" w:w="25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SPF · DKIM · DMARC · Received chain · Reply-To</w:t>
            </w:r>
          </w:p>
        </w:tc>
        <w:tc>
          <w:tcPr>
            <w:tcW w:type="dxa" w:w="36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Full authentication validation</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IOC extraction</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URLs · IPs · Domains · Hashes · Emails · Wallets</w:t>
            </w:r>
          </w:p>
        </w:tc>
        <w:tc>
          <w:tcPr>
            <w:tcW w:type="dxa" w:w="36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Defanged + encoded variants</w:t>
            </w:r>
          </w:p>
        </w:tc>
      </w:tr>
      <w:tr>
        <w:tc>
          <w:tcPr>
            <w:tcW w:type="dxa" w:w="32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Attachment scanning</w:t>
            </w:r>
          </w:p>
        </w:tc>
        <w:tc>
          <w:tcPr>
            <w:tcW w:type="dxa" w:w="25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YARA + static detonation signals</w:t>
            </w:r>
          </w:p>
        </w:tc>
        <w:tc>
          <w:tcPr>
            <w:tcW w:type="dxa" w:w="36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VBA macros · PDF elements · Office</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Threat enrichment</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VT · AbuseIPDB · Shodan · urlscan.io · OTX</w:t>
            </w:r>
          </w:p>
        </w:tc>
        <w:tc>
          <w:tcPr>
            <w:tcW w:type="dxa" w:w="36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Cached · async · gracefully degraded</w:t>
            </w:r>
          </w:p>
        </w:tc>
      </w:tr>
      <w:tr>
        <w:tc>
          <w:tcPr>
            <w:tcW w:type="dxa" w:w="32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Risk scoring</w:t>
            </w:r>
          </w:p>
        </w:tc>
        <w:tc>
          <w:tcPr>
            <w:tcW w:type="dxa" w:w="25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Weighted signal engine → 4-tier verdict</w:t>
            </w:r>
          </w:p>
        </w:tc>
        <w:tc>
          <w:tcPr>
            <w:tcW w:type="dxa" w:w="36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Configurable weights via YAML</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Output formats</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JSON · HTML · STIX 2.1 · TheHive · MISP</w:t>
            </w:r>
          </w:p>
        </w:tc>
        <w:tc>
          <w:tcPr>
            <w:tcW w:type="dxa" w:w="36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SARIF planned for v1.1</w:t>
            </w:r>
          </w:p>
        </w:tc>
      </w:tr>
      <w:tr>
        <w:tc>
          <w:tcPr>
            <w:tcW w:type="dxa" w:w="32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LLM analysis</w:t>
            </w:r>
          </w:p>
        </w:tc>
        <w:tc>
          <w:tcPr>
            <w:tcW w:type="dxa" w:w="25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Verdict explanation via local Ollama</w:t>
            </w:r>
          </w:p>
        </w:tc>
        <w:tc>
          <w:tcPr>
            <w:tcW w:type="dxa" w:w="36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qwen2.5:7b · opt-in</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Campaign correlation</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Jaccard similarity across email set</w:t>
            </w:r>
          </w:p>
        </w:tc>
        <w:tc>
          <w:tcPr>
            <w:tcW w:type="dxa" w:w="36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SQLite persistence</w:t>
            </w:r>
          </w:p>
        </w:tc>
      </w:tr>
      <w:tr>
        <w:tc>
          <w:tcPr>
            <w:tcW w:type="dxa" w:w="32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MCP server</w:t>
            </w:r>
          </w:p>
        </w:tc>
        <w:tc>
          <w:tcPr>
            <w:tcW w:type="dxa" w:w="25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Expose analysis functions as MCP tools</w:t>
            </w:r>
          </w:p>
        </w:tc>
        <w:tc>
          <w:tcPr>
            <w:tcW w:type="dxa" w:w="36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Claude Code integration</w:t>
            </w:r>
          </w:p>
        </w:tc>
      </w:tr>
    </w:tbl>
    <w:p>
      <w:pPr>
        <w:spacing w:before="200" w:after="0"/>
      </w:pPr>
      <w:r>
        <w:t xml:space="preserve"/>
      </w:r>
    </w:p>
    <w:p>
      <w:pPr>
        <w:pStyle w:val="Heading1"/>
        <w:pageBreakBefore/>
        <w:pBdr>
          <w:bottom w:val="single" w:color="0D7377" w:sz="8" w:space="6"/>
        </w:pBdr>
        <w:spacing w:before="0" w:after="200"/>
      </w:pPr>
      <w:bookmarkStart w:name="architecture" w:id="1"/>
      <w:r>
        <w:rPr>
          <w:rFonts w:ascii="Arial" w:cs="Arial" w:eastAsia="Arial" w:hAnsi="Arial"/>
          <w:b/>
          <w:bCs/>
          <w:color w:val="1B2A4A"/>
          <w:sz w:val="36"/>
          <w:szCs w:val="36"/>
        </w:rPr>
        <w:t xml:space="preserve">Architecture</w:t>
      </w:r>
      <w:bookmarkEnd w:id="1"/>
    </w:p>
    <w:p>
      <w:pPr>
        <w:spacing w:before="60" w:after="100"/>
        <w:jc w:val="left"/>
      </w:pPr>
      <w:r>
        <w:rPr>
          <w:rFonts w:ascii="Arial" w:cs="Arial" w:eastAsia="Arial" w:hAnsi="Arial"/>
          <w:b w:val="false"/>
          <w:bCs w:val="false"/>
          <w:i w:val="false"/>
          <w:iCs w:val="false"/>
          <w:color w:val="4A5568"/>
          <w:sz w:val="22"/>
          <w:szCs w:val="22"/>
        </w:rPr>
        <w:t xml:space="preserve">Lure is structured as a pipeline of six independent, composable modules orchestrated by a central Pipeline class. Each module can run standalone (for testing) or as a stage in the full pipeline. The async enrichment layer is the performance-critical path — all API calls run concurrently with per-API rate-limit semaphores.</w:t>
      </w:r>
    </w:p>
    <w:p>
      <w:pPr>
        <w:spacing w:before="120" w:after="0"/>
      </w:pPr>
      <w:r>
        <w:t xml:space="preserve"/>
      </w:r>
    </w:p>
    <w:p>
      <w:pPr>
        <w:pStyle w:val="Heading2"/>
        <w:spacing w:before="300" w:after="120"/>
      </w:pPr>
      <w:bookmarkStart w:name="repository-structure" w:id="1"/>
      <w:r>
        <w:rPr>
          <w:rFonts w:ascii="Arial" w:cs="Arial" w:eastAsia="Arial" w:hAnsi="Arial"/>
          <w:b/>
          <w:bCs/>
          <w:color w:val="1B2A4A"/>
          <w:sz w:val="28"/>
          <w:szCs w:val="28"/>
        </w:rPr>
        <w:t xml:space="preserve">Repository Structure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827" w:val="clear"/>
            <w:tcMar>
              <w:top w:type="dxa" w:w="80"/>
              <w:left w:type="dxa" w:w="160"/>
              <w:bottom w:type="dxa" w:w="0"/>
              <w:right w:type="dxa" w:w="160"/>
            </w:tcMar>
          </w:tcPr>
          <w:p>
            <w:pPr>
              <w:spacing w:before="0" w:after="0"/>
            </w:pPr>
            <w:r>
              <w:rPr>
                <w:rFonts w:ascii="Courier New" w:cs="Courier New" w:eastAsia="Courier New" w:hAnsi="Courier New"/>
                <w:color w:val="6B7280"/>
                <w:sz w:val="17"/>
                <w:szCs w:val="17"/>
              </w:rPr>
              <w:t xml:space="preserve">lure/</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lure/</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 __init__.py</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 cli.py                  # Typer CLI entrypoint</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 pipeline.py             # Orchestrates all modules</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 config.py               # Settings via Pydantic + .env</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 models.py               # Pydantic data models (shared types)</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 cache.py                # SQLite TTL cache for enrichment</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 modules/</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   ├── parser.py           # A: Email parsing + header forensics</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   ├── extractor.py        # B: IOC extraction (all surfaces)</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   ├── scanner.py          # C: YARA scanning engine</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   ├── enricher.py         # D: Async enrichment orchestrator</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   ├── scorer.py           # E: Risk scoring + verdict engine</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   └── reporter.py         # F: Output formatting</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 enrichers/</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   ├── virustotal.py       # VT API v3 client</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   ├── abuseipdb.py        # AbuseIPDB v2 client</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   ├── shodan.py           # Shodan API client</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   ├── urlscan.py          # urlscan.io async client</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   ├── otx.py              # AlienVault OTX client</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   ├── urlhaus.py          # URLhaus feed client</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   └── whois.py            # WHOIS + domain age</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 llm/</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   ├── ollama_client.py    # Ollama API wrapper</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   └── prompts.py          # Structured prompts + Pydantic models</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 integrations/</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   ├── thehive.py          # TheHive4py wrapper</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   ├── misp.py             # PyMISP wrapper</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   └── stix_builder.py     # STIX 2.1 bundle builder</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 mcp/</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   └── server.py           # MCP server exposing Lure as tools</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 templates/</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 report.html.j2      # Jinja2 HTML report template</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 summary.txt.j2      # Terminal summary template</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rules/</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 phishing/               # Phishing kit YARA rules</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 malware/                # Malware family rules</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 documents/              # Office + PDF rules</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 custom/                 # Analyst-generated rules (--learn)</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tests/</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 samples/                # Test .eml files (safe)</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 test_parser.py</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 test_extractor.py</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 test_scanner.py</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 test_scorer.py</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.env.example                # API key template</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pyproject.toml</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README.md</w:t>
            </w:r>
          </w:p>
        </w:tc>
      </w:tr>
      <w:tr>
        <w:tc>
          <w:tcPr>
            <w:tcW w:type="dxa" w:w="9360"/>
            <w:tcBorders>
              <w:top w:val="none" w:color="FFFFFF" w:sz="0"/>
              <w:left w:val="none" w:color="FFFFFF" w:sz="0"/>
              <w:bottom w:val="none" w:color="FFFFFF" w:sz="0"/>
              <w:right w:val="none" w:color="FFFFFF" w:sz="0"/>
            </w:tcBorders>
            <w:shd w:fill="1E2A3A" w:val="clear"/>
            <w:tcMar>
              <w:top w:type="dxa" w:w="10"/>
              <w:left w:type="dxa" w:w="160"/>
              <w:bottom w:type="dxa" w:w="10"/>
              <w:right w:type="dxa" w:w="160"/>
            </w:tcMar>
          </w:tcPr>
          <w:p>
            <w:pPr>
              <w:spacing w:before="0" w:after="0"/>
            </w:pPr>
            <w:r>
              <w:t xml:space="preserve"/>
            </w:r>
          </w:p>
        </w:tc>
      </w:tr>
    </w:tbl>
    <w:p>
      <w:pPr>
        <w:spacing w:before="160" w:after="0"/>
      </w:pPr>
      <w:r>
        <w:t xml:space="preserve"/>
      </w:r>
    </w:p>
    <w:p>
      <w:pPr>
        <w:pStyle w:val="Heading2"/>
        <w:spacing w:before="300" w:after="120"/>
      </w:pPr>
      <w:bookmarkStart w:name="pipeline-data-flow" w:id="1"/>
      <w:r>
        <w:rPr>
          <w:rFonts w:ascii="Arial" w:cs="Arial" w:eastAsia="Arial" w:hAnsi="Arial"/>
          <w:b/>
          <w:bCs/>
          <w:color w:val="1B2A4A"/>
          <w:sz w:val="28"/>
          <w:szCs w:val="28"/>
        </w:rPr>
        <w:t xml:space="preserve">Pipeline Data Flow</w:t>
      </w:r>
      <w:bookmarkEnd w:id="1"/>
    </w:p>
    <w:p>
      <w:pPr>
        <w:spacing w:before="60" w:after="100"/>
        <w:jc w:val="left"/>
      </w:pPr>
      <w:r>
        <w:rPr>
          <w:rFonts w:ascii="Arial" w:cs="Arial" w:eastAsia="Arial" w:hAnsi="Arial"/>
          <w:b w:val="false"/>
          <w:bCs w:val="false"/>
          <w:i w:val="false"/>
          <w:iCs w:val="false"/>
          <w:color w:val="4A5568"/>
          <w:sz w:val="22"/>
          <w:szCs w:val="22"/>
        </w:rPr>
        <w:t xml:space="preserve">All inter-module data flows through typed Pydantic models. The pipeline is a sequential async chain where each module receives the cumulative analysis state and adds its findings to it.</w:t>
      </w:r>
    </w:p>
    <w:p>
      <w:pPr>
        <w:spacing w:before="100" w:after="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000"/>
        <w:gridCol w:w="2500"/>
        <w:gridCol w:w="1360"/>
      </w:tblGrid>
      <w:tr>
        <w:trPr>
          <w:tblHeader/>
        </w:trPr>
        <w:tc>
          <w:tcPr>
            <w:tcW w:type="dxa" w:w="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Stage</w:t>
            </w:r>
          </w:p>
        </w:tc>
        <w:tc>
          <w:tcPr>
            <w:tcW w:type="dxa" w:w="1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Module</w:t>
            </w:r>
          </w:p>
        </w:tc>
        <w:tc>
          <w:tcPr>
            <w:tcW w:type="dxa" w:w="2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Input</w:t>
            </w:r>
          </w:p>
        </w:tc>
        <w:tc>
          <w:tcPr>
            <w:tcW w:type="dxa" w:w="25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Output Added</w:t>
            </w:r>
          </w:p>
        </w:tc>
        <w:tc>
          <w:tcPr>
            <w:tcW w:type="dxa" w:w="13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Async?</w:t>
            </w:r>
          </w:p>
        </w:tc>
      </w:tr>
      <w:tr>
        <w:tc>
          <w:tcPr>
            <w:tcW w:type="dxa" w:w="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parser.py</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File path (.eml / .msg)</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HeaderAnalysis, raw MIME parts</w:t>
            </w:r>
          </w:p>
        </w:tc>
        <w:tc>
          <w:tcPr>
            <w:tcW w:type="dxa" w:w="1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No</w:t>
            </w:r>
          </w:p>
        </w:tc>
      </w:tr>
      <w:tr>
        <w:tc>
          <w:tcPr>
            <w:tcW w:type="dxa" w:w="8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2</w:t>
            </w:r>
          </w:p>
        </w:tc>
        <w:tc>
          <w:tcPr>
            <w:tcW w:type="dxa" w:w="18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extractor.py</w:t>
            </w:r>
          </w:p>
        </w:tc>
        <w:tc>
          <w:tcPr>
            <w:tcW w:type="dxa" w:w="2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MIME parts, body text, attachments</w:t>
            </w:r>
          </w:p>
        </w:tc>
        <w:tc>
          <w:tcPr>
            <w:tcW w:type="dxa" w:w="25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IOCSet (all types, deduplicated)</w:t>
            </w:r>
          </w:p>
        </w:tc>
        <w:tc>
          <w:tcPr>
            <w:tcW w:type="dxa" w:w="13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No</w:t>
            </w:r>
          </w:p>
        </w:tc>
      </w:tr>
      <w:tr>
        <w:tc>
          <w:tcPr>
            <w:tcW w:type="dxa" w:w="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scanner.py</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Attachment bytes, MIME parts</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YARAMatchSet</w:t>
            </w:r>
          </w:p>
        </w:tc>
        <w:tc>
          <w:tcPr>
            <w:tcW w:type="dxa" w:w="1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No</w:t>
            </w:r>
          </w:p>
        </w:tc>
      </w:tr>
      <w:tr>
        <w:tc>
          <w:tcPr>
            <w:tcW w:type="dxa" w:w="8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4</w:t>
            </w:r>
          </w:p>
        </w:tc>
        <w:tc>
          <w:tcPr>
            <w:tcW w:type="dxa" w:w="18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enricher.py</w:t>
            </w:r>
          </w:p>
        </w:tc>
        <w:tc>
          <w:tcPr>
            <w:tcW w:type="dxa" w:w="2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IOCSet</w:t>
            </w:r>
          </w:p>
        </w:tc>
        <w:tc>
          <w:tcPr>
            <w:tcW w:type="dxa" w:w="25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EnrichmentResult (all APIs)</w:t>
            </w:r>
          </w:p>
        </w:tc>
        <w:tc>
          <w:tcPr>
            <w:tcW w:type="dxa" w:w="13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Yes — concurrent</w:t>
            </w:r>
          </w:p>
        </w:tc>
      </w:tr>
      <w:tr>
        <w:tc>
          <w:tcPr>
            <w:tcW w:type="dxa" w:w="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5</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scorer.py</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HeaderAnalysis + IOCSet + YARAMatchSet + EnrichmentResult</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RiskScore, Verdict, SignalsFired</w:t>
            </w:r>
          </w:p>
        </w:tc>
        <w:tc>
          <w:tcPr>
            <w:tcW w:type="dxa" w:w="1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No</w:t>
            </w:r>
          </w:p>
        </w:tc>
      </w:tr>
      <w:tr>
        <w:tc>
          <w:tcPr>
            <w:tcW w:type="dxa" w:w="8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6</w:t>
            </w:r>
          </w:p>
        </w:tc>
        <w:tc>
          <w:tcPr>
            <w:tcW w:type="dxa" w:w="18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reporter.py</w:t>
            </w:r>
          </w:p>
        </w:tc>
        <w:tc>
          <w:tcPr>
            <w:tcW w:type="dxa" w:w="2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Full AnalysisResult</w:t>
            </w:r>
          </w:p>
        </w:tc>
        <w:tc>
          <w:tcPr>
            <w:tcW w:type="dxa" w:w="25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JSON / HTML / STIX / TheHive / MISP</w:t>
            </w:r>
          </w:p>
        </w:tc>
        <w:tc>
          <w:tcPr>
            <w:tcW w:type="dxa" w:w="13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Partial</w:t>
            </w:r>
          </w:p>
        </w:tc>
      </w:tr>
    </w:tbl>
    <w:p>
      <w:pPr>
        <w:spacing w:before="200" w:after="0"/>
      </w:pPr>
      <w:r>
        <w:t xml:space="preserve"/>
      </w:r>
    </w:p>
    <w:p>
      <w:pPr>
        <w:pStyle w:val="Heading2"/>
        <w:spacing w:before="300" w:after="120"/>
      </w:pPr>
      <w:bookmarkStart w:name="core-data-models-(models.py)" w:id="1"/>
      <w:r>
        <w:rPr>
          <w:rFonts w:ascii="Arial" w:cs="Arial" w:eastAsia="Arial" w:hAnsi="Arial"/>
          <w:b/>
          <w:bCs/>
          <w:color w:val="1B2A4A"/>
          <w:sz w:val="28"/>
          <w:szCs w:val="28"/>
        </w:rPr>
        <w:t xml:space="preserve">Core Data Models (models.py)</w:t>
      </w:r>
      <w:bookmarkEnd w:id="1"/>
    </w:p>
    <w:p>
      <w:pPr>
        <w:spacing w:before="60" w:after="100"/>
        <w:jc w:val="left"/>
      </w:pPr>
      <w:r>
        <w:rPr>
          <w:rFonts w:ascii="Arial" w:cs="Arial" w:eastAsia="Arial" w:hAnsi="Arial"/>
          <w:b w:val="false"/>
          <w:bCs w:val="false"/>
          <w:i w:val="false"/>
          <w:iCs w:val="false"/>
          <w:color w:val="4A5568"/>
          <w:sz w:val="22"/>
          <w:szCs w:val="22"/>
        </w:rPr>
        <w:t xml:space="preserve">All data flowing through the pipeline is typed with Pydantic v2. This provides automatic validation, serialization to JSON, and IDE autocomplete throughout the codebase.</w:t>
      </w:r>
    </w:p>
    <w:p>
      <w:pPr>
        <w:spacing w:before="100" w:after="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160"/>
      </w:tblGrid>
      <w:tr>
        <w:trPr>
          <w:tblHeader/>
        </w:trPr>
        <w:tc>
          <w:tcPr>
            <w:tcW w:type="dxa" w:w="2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Model</w:t>
            </w:r>
          </w:p>
        </w:tc>
        <w:tc>
          <w:tcPr>
            <w:tcW w:type="dxa" w:w="3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Key Fields</w:t>
            </w:r>
          </w:p>
        </w:tc>
        <w:tc>
          <w:tcPr>
            <w:tcW w:type="dxa" w:w="31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Notes</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EmailFile</w:t>
            </w:r>
          </w:p>
        </w:tc>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path, file_type (eml/msg), sha256</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Input model — validated on ingest</w:t>
            </w:r>
          </w:p>
        </w:tc>
      </w:tr>
      <w:tr>
        <w:tc>
          <w:tcPr>
            <w:tcW w:type="dxa" w:w="2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HeaderAnalysis</w:t>
            </w:r>
          </w:p>
        </w:tc>
        <w:tc>
          <w:tcPr>
            <w:tcW w:type="dxa" w:w="38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from_addr, reply_to, spf, dkim, dmarc, originating_ip, received_hops, anomalies</w:t>
            </w:r>
          </w:p>
        </w:tc>
        <w:tc>
          <w:tcPr>
            <w:tcW w:type="dxa" w:w="31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Output of parser.py</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IOCSet</w:t>
            </w:r>
          </w:p>
        </w:tc>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ips, domains, urls, hashes, emails, wallets (all typed lists)</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Deduplicated across all extraction sources</w:t>
            </w:r>
          </w:p>
        </w:tc>
      </w:tr>
      <w:tr>
        <w:tc>
          <w:tcPr>
            <w:tcW w:type="dxa" w:w="2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YARAMatch</w:t>
            </w:r>
          </w:p>
        </w:tc>
        <w:tc>
          <w:tcPr>
            <w:tcW w:type="dxa" w:w="38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rule_name, ruleset, attachment_name, strings_matched, offset</w:t>
            </w:r>
          </w:p>
        </w:tc>
        <w:tc>
          <w:tcPr>
            <w:tcW w:type="dxa" w:w="31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One per match — list in YARAMatchSet</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AttachmentAnalysis</w:t>
            </w:r>
          </w:p>
        </w:tc>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filename, mime_type, sha256, vba_macros, pdf_elements, yara_matches</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Per-attachment static analysis</w:t>
            </w:r>
          </w:p>
        </w:tc>
      </w:tr>
      <w:tr>
        <w:tc>
          <w:tcPr>
            <w:tcW w:type="dxa" w:w="2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EnrichmentResult</w:t>
            </w:r>
          </w:p>
        </w:tc>
        <w:tc>
          <w:tcPr>
            <w:tcW w:type="dxa" w:w="38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virustotal, abuseipdb, shodan, urlscan, otx, whois (dicts keyed by IOC)</w:t>
            </w:r>
          </w:p>
        </w:tc>
        <w:tc>
          <w:tcPr>
            <w:tcW w:type="dxa" w:w="31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Keyed by indicator value</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RiskScore</w:t>
            </w:r>
          </w:p>
        </w:tc>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total_score, signals_fired (list[Signal]), verdict, verdict_color</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Output of scorer.py</w:t>
            </w:r>
          </w:p>
        </w:tc>
      </w:tr>
      <w:tr>
        <w:tc>
          <w:tcPr>
            <w:tcW w:type="dxa" w:w="2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AnalysisResult</w:t>
            </w:r>
          </w:p>
        </w:tc>
        <w:tc>
          <w:tcPr>
            <w:tcW w:type="dxa" w:w="38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All of the above + analyst_summary, analysis_timestamp, email_hash</w:t>
            </w:r>
          </w:p>
        </w:tc>
        <w:tc>
          <w:tcPr>
            <w:tcW w:type="dxa" w:w="31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Root output model — serialized to JSON</w:t>
            </w:r>
          </w:p>
        </w:tc>
      </w:tr>
    </w:tbl>
    <w:p>
      <w:pPr>
        <w:spacing w:before="200" w:after="0"/>
      </w:pPr>
      <w:r>
        <w:t xml:space="preserve"/>
      </w:r>
    </w:p>
    <w:p>
      <w:pPr>
        <w:pStyle w:val="Heading1"/>
        <w:pageBreakBefore/>
        <w:pBdr>
          <w:bottom w:val="single" w:color="0D7377" w:sz="8" w:space="6"/>
        </w:pBdr>
        <w:spacing w:before="0" w:after="200"/>
      </w:pPr>
      <w:bookmarkStart w:name="phases" w:id="1"/>
      <w:r>
        <w:rPr>
          <w:rFonts w:ascii="Arial" w:cs="Arial" w:eastAsia="Arial" w:hAnsi="Arial"/>
          <w:b/>
          <w:bCs/>
          <w:color w:val="1B2A4A"/>
          <w:sz w:val="36"/>
          <w:szCs w:val="36"/>
        </w:rPr>
        <w:t xml:space="preserve">Implementation Phases</w:t>
      </w:r>
      <w:bookmarkEnd w:id="1"/>
    </w:p>
    <w:p>
      <w:pPr>
        <w:spacing w:before="60" w:after="100"/>
        <w:jc w:val="left"/>
      </w:pPr>
      <w:r>
        <w:rPr>
          <w:rFonts w:ascii="Arial" w:cs="Arial" w:eastAsia="Arial" w:hAnsi="Arial"/>
          <w:b w:val="false"/>
          <w:bCs w:val="false"/>
          <w:i w:val="false"/>
          <w:iCs w:val="false"/>
          <w:color w:val="4A5568"/>
          <w:sz w:val="22"/>
          <w:szCs w:val="22"/>
        </w:rPr>
        <w:t xml:space="preserve">Lure is built in five sequential phases over ten weeks. Each phase ends with a working, testable deliverable. Do not begin the next phase until the current phase has passing tests and a demo-ready CLI invocation.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200"/>
        <w:gridCol w:w="4960"/>
      </w:tblGrid>
      <w:tr>
        <w:trPr>
          <w:tblHeader/>
        </w:trPr>
        <w:tc>
          <w:tcPr>
            <w:tcW w:type="dxa" w:w="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Phase</w:t>
            </w:r>
          </w:p>
        </w:tc>
        <w:tc>
          <w:tcPr>
            <w:tcW w:type="dxa" w:w="2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Name</w:t>
            </w:r>
          </w:p>
        </w:tc>
        <w:tc>
          <w:tcPr>
            <w:tcW w:type="dxa" w:w="1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Duration</w:t>
            </w:r>
          </w:p>
        </w:tc>
        <w:tc>
          <w:tcPr>
            <w:tcW w:type="dxa" w:w="49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End-of-Phase Deliverable</w:t>
            </w:r>
          </w:p>
        </w:tc>
      </w:tr>
      <w:tr>
        <w:tc>
          <w:tcPr>
            <w:tcW w:type="dxa" w:w="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1</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Foundation &amp; Email Parser</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Weeks 1–2</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lure analyze email.eml → structured header output + IOC list</w:t>
            </w:r>
          </w:p>
        </w:tc>
      </w:tr>
      <w:tr>
        <w:tc>
          <w:tcPr>
            <w:tcW w:type="dxa" w:w="6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2</w:t>
            </w:r>
          </w:p>
        </w:tc>
        <w:tc>
          <w:tcPr>
            <w:tcW w:type="dxa" w:w="26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YARA Scanner + Attachment Analysis</w:t>
            </w:r>
          </w:p>
        </w:tc>
        <w:tc>
          <w:tcPr>
            <w:tcW w:type="dxa" w:w="12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Weeks 3–4</w:t>
            </w:r>
          </w:p>
        </w:tc>
        <w:tc>
          <w:tcPr>
            <w:tcW w:type="dxa" w:w="49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lure analyze email.eml → header + IOCs + YARA matches</w:t>
            </w:r>
          </w:p>
        </w:tc>
      </w:tr>
      <w:tr>
        <w:tc>
          <w:tcPr>
            <w:tcW w:type="dxa" w:w="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3</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Enrichment API Layer</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Weeks 5–6</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lure analyze email.eml → full enriched report in JSON + HTML</w:t>
            </w:r>
          </w:p>
        </w:tc>
      </w:tr>
      <w:tr>
        <w:tc>
          <w:tcPr>
            <w:tcW w:type="dxa" w:w="6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4</w:t>
            </w:r>
          </w:p>
        </w:tc>
        <w:tc>
          <w:tcPr>
            <w:tcW w:type="dxa" w:w="26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Scoring Engine + SOC Integration</w:t>
            </w:r>
          </w:p>
        </w:tc>
        <w:tc>
          <w:tcPr>
            <w:tcW w:type="dxa" w:w="12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Weeks 7–8</w:t>
            </w:r>
          </w:p>
        </w:tc>
        <w:tc>
          <w:tcPr>
            <w:tcW w:type="dxa" w:w="49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lure analyze email.eml → verdict + TheHive case + MISP event</w:t>
            </w:r>
          </w:p>
        </w:tc>
      </w:tr>
      <w:tr>
        <w:tc>
          <w:tcPr>
            <w:tcW w:type="dxa" w:w="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5</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LLM Layer + MCP Server + Polish</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Weeks 9–10</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lure analyze email.eml → complete report with AI summary + MCP tools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CA8" w:sz="6"/>
              <w:left w:val="single" w:color="1B6CA8" w:sz="6"/>
              <w:bottom w:val="none" w:color="FFFFFF" w:sz="0"/>
              <w:right w:val="none" w:color="FFFFFF" w:sz="0"/>
            </w:tcBorders>
            <w:shd w:fill="1B6CA8" w:val="clear"/>
            <w:tcMar>
              <w:top w:type="dxa" w:w="120"/>
              <w:left w:type="dxa" w:w="200"/>
              <w:bottom w:type="dxa" w:w="120"/>
              <w:right w:type="dxa" w:w="160"/>
            </w:tcMar>
          </w:tcPr>
          <w:p>
            <w:pPr>
              <w:spacing w:before="0" w:after="60"/>
            </w:pPr>
            <w:r>
              <w:rPr>
                <w:rFonts w:ascii="Arial" w:cs="Arial" w:eastAsia="Arial" w:hAnsi="Arial"/>
                <w:b/>
                <w:bCs/>
                <w:caps/>
                <w:color w:val="FFFFFF"/>
                <w:sz w:val="22"/>
                <w:szCs w:val="22"/>
              </w:rPr>
              <w:t xml:space="preserve">PHASE 1  </w:t>
            </w:r>
            <w:r>
              <w:rPr>
                <w:rFonts w:ascii="Arial" w:cs="Arial" w:eastAsia="Arial" w:hAnsi="Arial"/>
                <w:color w:val="CCDDFF"/>
                <w:sz w:val="20"/>
                <w:szCs w:val="20"/>
              </w:rPr>
              <w:t xml:space="preserve">  Weeks 1–2</w:t>
            </w:r>
          </w:p>
          <w:p>
            <w:pPr>
              <w:spacing w:before="0" w:after="0"/>
            </w:pPr>
            <w:r>
              <w:rPr>
                <w:rFonts w:ascii="Arial" w:cs="Arial" w:eastAsia="Arial" w:hAnsi="Arial"/>
                <w:b/>
                <w:bCs/>
                <w:color w:val="FFFFFF"/>
                <w:sz w:val="28"/>
                <w:szCs w:val="28"/>
              </w:rPr>
              <w:t xml:space="preserve">Foundation, Email Parser &amp; IOC Extractor</w:t>
            </w:r>
          </w:p>
        </w:tc>
      </w:tr>
      <w:tr>
        <w:tc>
          <w:tcPr>
            <w:tcW w:type="dxa" w:w="9360"/>
            <w:tcBorders>
              <w:top w:val="none" w:color="FFFFFF" w:sz="0"/>
              <w:left w:val="none" w:color="FFFFFF" w:sz="0"/>
              <w:bottom w:val="none" w:color="FFFFFF" w:sz="0"/>
              <w:right w:val="none" w:color="FFFFFF" w:sz="0"/>
            </w:tcBorders>
            <w:shd w:fill="E8F0FB" w:val="clear"/>
            <w:tcMar>
              <w:top w:type="dxa" w:w="100"/>
              <w:left w:type="dxa" w:w="200"/>
              <w:bottom w:type="dxa" w:w="80"/>
              <w:right w:type="dxa" w:w="160"/>
            </w:tcMar>
          </w:tcPr>
          <w:p>
            <w:pPr>
              <w:spacing w:before="0" w:after="0"/>
            </w:pPr>
            <w:r>
              <w:rPr>
                <w:rFonts w:ascii="Arial" w:cs="Arial" w:eastAsia="Arial" w:hAnsi="Arial"/>
                <w:b/>
                <w:bCs/>
                <w:color w:val="1B6CA8"/>
                <w:sz w:val="21"/>
                <w:szCs w:val="21"/>
              </w:rPr>
              <w:t xml:space="preserve">Objective: </w:t>
            </w:r>
            <w:r>
              <w:rPr>
                <w:rFonts w:ascii="Arial" w:cs="Arial" w:eastAsia="Arial" w:hAnsi="Arial"/>
                <w:color w:val="4A5568"/>
                <w:sz w:val="21"/>
                <w:szCs w:val="21"/>
              </w:rPr>
              <w:t xml:space="preserve">Establish project scaffolding and build the two most foundational modules: the email parser (header forensics) and the IOC extractor. End state: a working CLI that ingests an .eml or .msg file and outputs a structured JSON with all headers validated and all IOCs extracted.</w:t>
            </w:r>
          </w:p>
        </w:tc>
      </w:tr>
      <w:tr>
        <w:tc>
          <w:tcPr>
            <w:tcW w:type="dxa" w:w="400"/>
            <w:tcBorders>
              <w:top w:val="none" w:color="FFFFFF" w:sz="0"/>
              <w:left w:val="none" w:color="FFFFFF" w:sz="0"/>
              <w:bottom w:val="none" w:color="FFFFFF" w:sz="0"/>
              <w:right w:val="none" w:color="FFFFFF" w:sz="0"/>
            </w:tcBorders>
            <w:shd w:fill="E8F0FB" w:val="clear"/>
            <w:tcMar>
              <w:top w:type="dxa" w:w="40"/>
              <w:left w:type="dxa" w:w="180"/>
              <w:bottom w:type="dxa" w:w="40"/>
              <w:right w:type="dxa" w:w="80"/>
            </w:tcMar>
          </w:tcPr>
          <w:p>
            <w:pPr>
              <w:spacing w:before="0" w:after="0"/>
            </w:pPr>
            <w:r>
              <w:rPr>
                <w:rFonts w:ascii="Arial" w:cs="Arial" w:eastAsia="Arial" w:hAnsi="Arial"/>
                <w:color w:val="1B6CA8"/>
                <w:sz w:val="22"/>
                <w:szCs w:val="22"/>
              </w:rPr>
              <w:t xml:space="preserve">▸</w:t>
            </w:r>
          </w:p>
        </w:tc>
        <w:tc>
          <w:tcPr>
            <w:tcW w:type="dxa" w:w="8960"/>
            <w:tcBorders>
              <w:top w:val="none" w:color="FFFFFF" w:sz="0"/>
              <w:left w:val="none" w:color="FFFFFF" w:sz="0"/>
              <w:bottom w:val="none" w:color="FFFFFF" w:sz="0"/>
              <w:right w:val="none" w:color="FFFFFF" w:sz="0"/>
            </w:tcBorders>
            <w:shd w:fill="E8F0FB"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Set up project with pyproject.toml, Pydantic v2 models, Typer CLI, python-dotenv config</w:t>
            </w:r>
          </w:p>
        </w:tc>
      </w:tr>
      <w:tr>
        <w:tc>
          <w:tcPr>
            <w:tcW w:type="dxa" w:w="400"/>
            <w:tcBorders>
              <w:top w:val="none" w:color="FFFFFF" w:sz="0"/>
              <w:left w:val="none" w:color="FFFFFF" w:sz="0"/>
              <w:bottom w:val="none" w:color="FFFFFF" w:sz="0"/>
              <w:right w:val="none" w:color="FFFFFF" w:sz="0"/>
            </w:tcBorders>
            <w:shd w:fill="E8F0FB" w:val="clear"/>
            <w:tcMar>
              <w:top w:type="dxa" w:w="40"/>
              <w:left w:type="dxa" w:w="180"/>
              <w:bottom w:type="dxa" w:w="40"/>
              <w:right w:type="dxa" w:w="80"/>
            </w:tcMar>
          </w:tcPr>
          <w:p>
            <w:pPr>
              <w:spacing w:before="0" w:after="0"/>
            </w:pPr>
            <w:r>
              <w:rPr>
                <w:rFonts w:ascii="Arial" w:cs="Arial" w:eastAsia="Arial" w:hAnsi="Arial"/>
                <w:color w:val="1B6CA8"/>
                <w:sz w:val="22"/>
                <w:szCs w:val="22"/>
              </w:rPr>
              <w:t xml:space="preserve">▸</w:t>
            </w:r>
          </w:p>
        </w:tc>
        <w:tc>
          <w:tcPr>
            <w:tcW w:type="dxa" w:w="8960"/>
            <w:tcBorders>
              <w:top w:val="none" w:color="FFFFFF" w:sz="0"/>
              <w:left w:val="none" w:color="FFFFFF" w:sz="0"/>
              <w:bottom w:val="none" w:color="FFFFFF" w:sz="0"/>
              <w:right w:val="none" w:color="FFFFFF" w:sz="0"/>
            </w:tcBorders>
            <w:shd w:fill="E8F0FB"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Implement EmailFile ingestion — handle .eml (mail-parser) and .msg (extract-msg) with file type detection via python-magic</w:t>
            </w:r>
          </w:p>
        </w:tc>
      </w:tr>
      <w:tr>
        <w:tc>
          <w:tcPr>
            <w:tcW w:type="dxa" w:w="400"/>
            <w:tcBorders>
              <w:top w:val="none" w:color="FFFFFF" w:sz="0"/>
              <w:left w:val="none" w:color="FFFFFF" w:sz="0"/>
              <w:bottom w:val="none" w:color="FFFFFF" w:sz="0"/>
              <w:right w:val="none" w:color="FFFFFF" w:sz="0"/>
            </w:tcBorders>
            <w:shd w:fill="E8F0FB" w:val="clear"/>
            <w:tcMar>
              <w:top w:type="dxa" w:w="40"/>
              <w:left w:type="dxa" w:w="180"/>
              <w:bottom w:type="dxa" w:w="40"/>
              <w:right w:type="dxa" w:w="80"/>
            </w:tcMar>
          </w:tcPr>
          <w:p>
            <w:pPr>
              <w:spacing w:before="0" w:after="0"/>
            </w:pPr>
            <w:r>
              <w:rPr>
                <w:rFonts w:ascii="Arial" w:cs="Arial" w:eastAsia="Arial" w:hAnsi="Arial"/>
                <w:color w:val="1B6CA8"/>
                <w:sz w:val="22"/>
                <w:szCs w:val="22"/>
              </w:rPr>
              <w:t xml:space="preserve">▸</w:t>
            </w:r>
          </w:p>
        </w:tc>
        <w:tc>
          <w:tcPr>
            <w:tcW w:type="dxa" w:w="8960"/>
            <w:tcBorders>
              <w:top w:val="none" w:color="FFFFFF" w:sz="0"/>
              <w:left w:val="none" w:color="FFFFFF" w:sz="0"/>
              <w:bottom w:val="none" w:color="FFFFFF" w:sz="0"/>
              <w:right w:val="none" w:color="FFFFFF" w:sz="0"/>
            </w:tcBorders>
            <w:shd w:fill="E8F0FB"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Build HeaderAnalysis module: SPF (pyspf), DKIM (dkimpy), DMARC (checkdmarc), Received chain walking</w:t>
            </w:r>
          </w:p>
        </w:tc>
      </w:tr>
      <w:tr>
        <w:tc>
          <w:tcPr>
            <w:tcW w:type="dxa" w:w="400"/>
            <w:tcBorders>
              <w:top w:val="none" w:color="FFFFFF" w:sz="0"/>
              <w:left w:val="none" w:color="FFFFFF" w:sz="0"/>
              <w:bottom w:val="none" w:color="FFFFFF" w:sz="0"/>
              <w:right w:val="none" w:color="FFFFFF" w:sz="0"/>
            </w:tcBorders>
            <w:shd w:fill="E8F0FB" w:val="clear"/>
            <w:tcMar>
              <w:top w:type="dxa" w:w="40"/>
              <w:left w:type="dxa" w:w="180"/>
              <w:bottom w:type="dxa" w:w="40"/>
              <w:right w:type="dxa" w:w="80"/>
            </w:tcMar>
          </w:tcPr>
          <w:p>
            <w:pPr>
              <w:spacing w:before="0" w:after="0"/>
            </w:pPr>
            <w:r>
              <w:rPr>
                <w:rFonts w:ascii="Arial" w:cs="Arial" w:eastAsia="Arial" w:hAnsi="Arial"/>
                <w:color w:val="1B6CA8"/>
                <w:sz w:val="22"/>
                <w:szCs w:val="22"/>
              </w:rPr>
              <w:t xml:space="preserve">▸</w:t>
            </w:r>
          </w:p>
        </w:tc>
        <w:tc>
          <w:tcPr>
            <w:tcW w:type="dxa" w:w="8960"/>
            <w:tcBorders>
              <w:top w:val="none" w:color="FFFFFF" w:sz="0"/>
              <w:left w:val="none" w:color="FFFFFF" w:sz="0"/>
              <w:bottom w:val="none" w:color="FFFFFF" w:sz="0"/>
              <w:right w:val="none" w:color="FFFFFF" w:sz="0"/>
            </w:tcBorders>
            <w:shd w:fill="E8F0FB"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Implement Reply-To mismatch detection, X-Originating-IP extraction, X-Mailer parsing</w:t>
            </w:r>
          </w:p>
        </w:tc>
      </w:tr>
      <w:tr>
        <w:tc>
          <w:tcPr>
            <w:tcW w:type="dxa" w:w="400"/>
            <w:tcBorders>
              <w:top w:val="none" w:color="FFFFFF" w:sz="0"/>
              <w:left w:val="none" w:color="FFFFFF" w:sz="0"/>
              <w:bottom w:val="none" w:color="FFFFFF" w:sz="0"/>
              <w:right w:val="none" w:color="FFFFFF" w:sz="0"/>
            </w:tcBorders>
            <w:shd w:fill="E8F0FB" w:val="clear"/>
            <w:tcMar>
              <w:top w:type="dxa" w:w="40"/>
              <w:left w:type="dxa" w:w="180"/>
              <w:bottom w:type="dxa" w:w="40"/>
              <w:right w:type="dxa" w:w="80"/>
            </w:tcMar>
          </w:tcPr>
          <w:p>
            <w:pPr>
              <w:spacing w:before="0" w:after="0"/>
            </w:pPr>
            <w:r>
              <w:rPr>
                <w:rFonts w:ascii="Arial" w:cs="Arial" w:eastAsia="Arial" w:hAnsi="Arial"/>
                <w:color w:val="1B6CA8"/>
                <w:sz w:val="22"/>
                <w:szCs w:val="22"/>
              </w:rPr>
              <w:t xml:space="preserve">▸</w:t>
            </w:r>
          </w:p>
        </w:tc>
        <w:tc>
          <w:tcPr>
            <w:tcW w:type="dxa" w:w="8960"/>
            <w:tcBorders>
              <w:top w:val="none" w:color="FFFFFF" w:sz="0"/>
              <w:left w:val="none" w:color="FFFFFF" w:sz="0"/>
              <w:bottom w:val="none" w:color="FFFFFF" w:sz="0"/>
              <w:right w:val="none" w:color="FFFFFF" w:sz="0"/>
            </w:tcBorders>
            <w:shd w:fill="E8F0FB"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Build IOCExtractor: run iocextract + iocsearcher over body and all MIME parts; BeautifulSoup for HTML href/src extraction</w:t>
            </w:r>
          </w:p>
        </w:tc>
      </w:tr>
      <w:tr>
        <w:tc>
          <w:tcPr>
            <w:tcW w:type="dxa" w:w="400"/>
            <w:tcBorders>
              <w:top w:val="none" w:color="FFFFFF" w:sz="0"/>
              <w:left w:val="none" w:color="FFFFFF" w:sz="0"/>
              <w:bottom w:val="none" w:color="FFFFFF" w:sz="0"/>
              <w:right w:val="none" w:color="FFFFFF" w:sz="0"/>
            </w:tcBorders>
            <w:shd w:fill="E8F0FB" w:val="clear"/>
            <w:tcMar>
              <w:top w:type="dxa" w:w="40"/>
              <w:left w:type="dxa" w:w="180"/>
              <w:bottom w:type="dxa" w:w="40"/>
              <w:right w:type="dxa" w:w="80"/>
            </w:tcMar>
          </w:tcPr>
          <w:p>
            <w:pPr>
              <w:spacing w:before="0" w:after="0"/>
            </w:pPr>
            <w:r>
              <w:rPr>
                <w:rFonts w:ascii="Arial" w:cs="Arial" w:eastAsia="Arial" w:hAnsi="Arial"/>
                <w:color w:val="1B6CA8"/>
                <w:sz w:val="22"/>
                <w:szCs w:val="22"/>
              </w:rPr>
              <w:t xml:space="preserve">▸</w:t>
            </w:r>
          </w:p>
        </w:tc>
        <w:tc>
          <w:tcPr>
            <w:tcW w:type="dxa" w:w="8960"/>
            <w:tcBorders>
              <w:top w:val="none" w:color="FFFFFF" w:sz="0"/>
              <w:left w:val="none" w:color="FFFFFF" w:sz="0"/>
              <w:bottom w:val="none" w:color="FFFFFF" w:sz="0"/>
              <w:right w:val="none" w:color="FFFFFF" w:sz="0"/>
            </w:tcBorders>
            <w:shd w:fill="E8F0FB"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Add attachment extraction layer: pdfplumber for PDFs, python-docx for Word, oletools for Office</w:t>
            </w:r>
          </w:p>
        </w:tc>
      </w:tr>
      <w:tr>
        <w:tc>
          <w:tcPr>
            <w:tcW w:type="dxa" w:w="400"/>
            <w:tcBorders>
              <w:top w:val="none" w:color="FFFFFF" w:sz="0"/>
              <w:left w:val="none" w:color="FFFFFF" w:sz="0"/>
              <w:bottom w:val="none" w:color="FFFFFF" w:sz="0"/>
              <w:right w:val="none" w:color="FFFFFF" w:sz="0"/>
            </w:tcBorders>
            <w:shd w:fill="E8F0FB" w:val="clear"/>
            <w:tcMar>
              <w:top w:type="dxa" w:w="40"/>
              <w:left w:type="dxa" w:w="180"/>
              <w:bottom w:type="dxa" w:w="40"/>
              <w:right w:type="dxa" w:w="80"/>
            </w:tcMar>
          </w:tcPr>
          <w:p>
            <w:pPr>
              <w:spacing w:before="0" w:after="0"/>
            </w:pPr>
            <w:r>
              <w:rPr>
                <w:rFonts w:ascii="Arial" w:cs="Arial" w:eastAsia="Arial" w:hAnsi="Arial"/>
                <w:color w:val="1B6CA8"/>
                <w:sz w:val="22"/>
                <w:szCs w:val="22"/>
              </w:rPr>
              <w:t xml:space="preserve">▸</w:t>
            </w:r>
          </w:p>
        </w:tc>
        <w:tc>
          <w:tcPr>
            <w:tcW w:type="dxa" w:w="8960"/>
            <w:tcBorders>
              <w:top w:val="none" w:color="FFFFFF" w:sz="0"/>
              <w:left w:val="none" w:color="FFFFFF" w:sz="0"/>
              <w:bottom w:val="none" w:color="FFFFFF" w:sz="0"/>
              <w:right w:val="none" w:color="FFFFFF" w:sz="0"/>
            </w:tcBorders>
            <w:shd w:fill="E8F0FB"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Implement homograph detection via unicodedata + tldextract punycode handling</w:t>
            </w:r>
          </w:p>
        </w:tc>
      </w:tr>
      <w:tr>
        <w:tc>
          <w:tcPr>
            <w:tcW w:type="dxa" w:w="400"/>
            <w:tcBorders>
              <w:top w:val="none" w:color="FFFFFF" w:sz="0"/>
              <w:left w:val="none" w:color="FFFFFF" w:sz="0"/>
              <w:bottom w:val="none" w:color="FFFFFF" w:sz="0"/>
              <w:right w:val="none" w:color="FFFFFF" w:sz="0"/>
            </w:tcBorders>
            <w:shd w:fill="E8F0FB" w:val="clear"/>
            <w:tcMar>
              <w:top w:type="dxa" w:w="40"/>
              <w:left w:type="dxa" w:w="180"/>
              <w:bottom w:type="dxa" w:w="40"/>
              <w:right w:type="dxa" w:w="80"/>
            </w:tcMar>
          </w:tcPr>
          <w:p>
            <w:pPr>
              <w:spacing w:before="0" w:after="0"/>
            </w:pPr>
            <w:r>
              <w:rPr>
                <w:rFonts w:ascii="Arial" w:cs="Arial" w:eastAsia="Arial" w:hAnsi="Arial"/>
                <w:color w:val="1B6CA8"/>
                <w:sz w:val="22"/>
                <w:szCs w:val="22"/>
              </w:rPr>
              <w:t xml:space="preserve">▸</w:t>
            </w:r>
          </w:p>
        </w:tc>
        <w:tc>
          <w:tcPr>
            <w:tcW w:type="dxa" w:w="8960"/>
            <w:tcBorders>
              <w:top w:val="none" w:color="FFFFFF" w:sz="0"/>
              <w:left w:val="none" w:color="FFFFFF" w:sz="0"/>
              <w:bottom w:val="none" w:color="FFFFFF" w:sz="0"/>
              <w:right w:val="none" w:color="FFFFFF" w:sz="0"/>
            </w:tcBorders>
            <w:shd w:fill="E8F0FB"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Implement multi-hop redirect chain following (requests, depth-limited to 5 hops)</w:t>
            </w:r>
          </w:p>
        </w:tc>
      </w:tr>
      <w:tr>
        <w:tc>
          <w:tcPr>
            <w:tcW w:type="dxa" w:w="400"/>
            <w:tcBorders>
              <w:top w:val="none" w:color="FFFFFF" w:sz="0"/>
              <w:left w:val="none" w:color="FFFFFF" w:sz="0"/>
              <w:bottom w:val="none" w:color="FFFFFF" w:sz="0"/>
              <w:right w:val="none" w:color="FFFFFF" w:sz="0"/>
            </w:tcBorders>
            <w:shd w:fill="E8F0FB" w:val="clear"/>
            <w:tcMar>
              <w:top w:type="dxa" w:w="40"/>
              <w:left w:type="dxa" w:w="180"/>
              <w:bottom w:type="dxa" w:w="40"/>
              <w:right w:type="dxa" w:w="80"/>
            </w:tcMar>
          </w:tcPr>
          <w:p>
            <w:pPr>
              <w:spacing w:before="0" w:after="0"/>
            </w:pPr>
            <w:r>
              <w:rPr>
                <w:rFonts w:ascii="Arial" w:cs="Arial" w:eastAsia="Arial" w:hAnsi="Arial"/>
                <w:color w:val="1B6CA8"/>
                <w:sz w:val="22"/>
                <w:szCs w:val="22"/>
              </w:rPr>
              <w:t xml:space="preserve">▸</w:t>
            </w:r>
          </w:p>
        </w:tc>
        <w:tc>
          <w:tcPr>
            <w:tcW w:type="dxa" w:w="8960"/>
            <w:tcBorders>
              <w:top w:val="none" w:color="FFFFFF" w:sz="0"/>
              <w:left w:val="none" w:color="FFFFFF" w:sz="0"/>
              <w:bottom w:val="none" w:color="FFFFFF" w:sz="0"/>
              <w:right w:val="none" w:color="FFFFFF" w:sz="0"/>
            </w:tcBorders>
            <w:shd w:fill="E8F0FB"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Write pytest suite: 10+ test .eml files covering SPF pass/fail, DKIM variants, defanged IOCs</w:t>
            </w:r>
          </w:p>
        </w:tc>
      </w:tr>
      <w:tr>
        <w:tc>
          <w:tcPr>
            <w:tcW w:type="dxa" w:w="400"/>
            <w:tcBorders>
              <w:top w:val="none" w:color="FFFFFF" w:sz="0"/>
              <w:left w:val="none" w:color="FFFFFF" w:sz="0"/>
              <w:bottom w:val="none" w:color="FFFFFF" w:sz="0"/>
              <w:right w:val="none" w:color="FFFFFF" w:sz="0"/>
            </w:tcBorders>
            <w:shd w:fill="E8F0FB" w:val="clear"/>
            <w:tcMar>
              <w:top w:type="dxa" w:w="40"/>
              <w:left w:type="dxa" w:w="180"/>
              <w:bottom w:type="dxa" w:w="40"/>
              <w:right w:type="dxa" w:w="80"/>
            </w:tcMar>
          </w:tcPr>
          <w:p>
            <w:pPr>
              <w:spacing w:before="0" w:after="0"/>
            </w:pPr>
            <w:r>
              <w:rPr>
                <w:rFonts w:ascii="Arial" w:cs="Arial" w:eastAsia="Arial" w:hAnsi="Arial"/>
                <w:color w:val="1B6CA8"/>
                <w:sz w:val="22"/>
                <w:szCs w:val="22"/>
              </w:rPr>
              <w:t xml:space="preserve">▸</w:t>
            </w:r>
          </w:p>
        </w:tc>
        <w:tc>
          <w:tcPr>
            <w:tcW w:type="dxa" w:w="8960"/>
            <w:tcBorders>
              <w:top w:val="none" w:color="FFFFFF" w:sz="0"/>
              <w:left w:val="none" w:color="FFFFFF" w:sz="0"/>
              <w:bottom w:val="none" w:color="FFFFFF" w:sz="0"/>
              <w:right w:val="none" w:color="FFFFFF" w:sz="0"/>
            </w:tcBorders>
            <w:shd w:fill="E8F0FB"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CLI: lure analyze &lt;file&gt; → prints JSON to stdout; --output flag for file; --format flag for json/text</w:t>
            </w:r>
          </w:p>
        </w:tc>
      </w:tr>
      <w:tr>
        <w:tc>
          <w:tcPr>
            <w:tcW w:type="dxa" w:w="9360"/>
            <w:tcBorders>
              <w:top w:val="none" w:color="FFFFFF" w:sz="0"/>
              <w:left w:val="none" w:color="FFFFFF" w:sz="0"/>
              <w:bottom w:val="single" w:color="1B6CA8" w:sz="3"/>
              <w:right w:val="none" w:color="FFFFFF" w:sz="0"/>
            </w:tcBorders>
            <w:shd w:fill="E8F0FB" w:val="clear"/>
            <w:tcMar>
              <w:top w:type="dxa" w:w="80"/>
              <w:left w:type="dxa" w:w="200"/>
              <w:bottom w:type="dxa" w:w="60"/>
              <w:right w:type="dxa" w:w="160"/>
            </w:tcMar>
          </w:tcPr>
          <w:p>
            <w:pPr>
              <w:spacing w:before="0" w:after="0"/>
            </w:pPr>
            <w:r>
              <w:t xml:space="preserve"/>
            </w:r>
          </w:p>
        </w:tc>
      </w:tr>
    </w:tbl>
    <w:p>
      <w:pPr>
        <w:spacing w:before="160" w:after="0"/>
      </w:pPr>
      <w:r>
        <w:t xml:space="preserve"/>
      </w:r>
    </w:p>
    <w:p>
      <w:pPr>
        <w:pStyle w:val="Heading3"/>
        <w:spacing w:before="240" w:after="80"/>
      </w:pPr>
      <w:r>
        <w:rPr>
          <w:rFonts w:ascii="Arial" w:cs="Arial" w:eastAsia="Arial" w:hAnsi="Arial"/>
          <w:b/>
          <w:bCs/>
          <w:color w:val="0D7377"/>
          <w:sz w:val="24"/>
          <w:szCs w:val="24"/>
        </w:rPr>
        <w:t xml:space="preserve">Phase 1 Module Specifications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0D7377"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Module</w:t>
            </w:r>
          </w:p>
        </w:tc>
        <w:tc>
          <w:tcPr>
            <w:tcW w:type="dxa" w:w="7360"/>
            <w:tcBorders>
              <w:top w:val="single" w:color="D1D5DB" w:sz="1"/>
              <w:left w:val="single" w:color="D1D5DB" w:sz="1"/>
              <w:bottom w:val="single" w:color="D1D5DB" w:sz="1"/>
              <w:right w:val="single" w:color="D1D5DB" w:sz="1"/>
            </w:tcBorders>
            <w:shd w:fill="E8F6F6"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Email Parser</w:t>
            </w:r>
          </w:p>
        </w:tc>
      </w:tr>
      <w:tr>
        <w:tc>
          <w:tcPr>
            <w:tcW w:type="dxa" w:w="2000"/>
            <w:tcBorders>
              <w:top w:val="single" w:color="D1D5DB" w:sz="1"/>
              <w:left w:val="single" w:color="D1D5DB" w:sz="1"/>
              <w:bottom w:val="single" w:color="D1D5DB" w:sz="1"/>
              <w:right w:val="single" w:color="D1D5DB" w:sz="1"/>
            </w:tcBorders>
            <w:shd w:fill="F7F8FA" w:val="clear"/>
            <w:tcMar>
              <w:top w:type="dxa" w:w="100"/>
              <w:left w:type="dxa" w:w="140"/>
              <w:bottom w:type="dxa" w:w="100"/>
              <w:right w:type="dxa" w:w="140"/>
            </w:tcMar>
          </w:tcPr>
          <w:p>
            <w:pPr>
              <w:spacing w:before="0" w:after="0"/>
            </w:pPr>
            <w:r>
              <w:rPr>
                <w:rFonts w:ascii="Arial" w:cs="Arial" w:eastAsia="Arial" w:hAnsi="Arial"/>
                <w:b/>
                <w:bCs/>
                <w:color w:val="1B2A4A"/>
                <w:sz w:val="20"/>
                <w:szCs w:val="20"/>
              </w:rPr>
              <w:t xml:space="preserve">File</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lure/modules/parser.py</w:t>
            </w:r>
          </w:p>
        </w:tc>
      </w:tr>
      <w:tr>
        <w:tc>
          <w:tcPr>
            <w:tcW w:type="dxa" w:w="2000"/>
            <w:tcBorders>
              <w:top w:val="single" w:color="D1D5DB" w:sz="1"/>
              <w:left w:val="single" w:color="D1D5DB" w:sz="1"/>
              <w:bottom w:val="single" w:color="D1D5DB" w:sz="1"/>
              <w:right w:val="single" w:color="D1D5DB" w:sz="1"/>
            </w:tcBorders>
            <w:shd w:fill="F7F8FA" w:val="clear"/>
            <w:tcMar>
              <w:top w:type="dxa" w:w="100"/>
              <w:left w:type="dxa" w:w="140"/>
              <w:bottom w:type="dxa" w:w="100"/>
              <w:right w:type="dxa" w:w="140"/>
            </w:tcMar>
          </w:tcPr>
          <w:p>
            <w:pPr>
              <w:spacing w:before="0" w:after="0"/>
            </w:pPr>
            <w:r>
              <w:rPr>
                <w:rFonts w:ascii="Arial" w:cs="Arial" w:eastAsia="Arial" w:hAnsi="Arial"/>
                <w:b/>
                <w:bCs/>
                <w:color w:val="1B2A4A"/>
                <w:sz w:val="20"/>
                <w:szCs w:val="20"/>
              </w:rPr>
              <w:t xml:space="preserve">Description</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Parses .eml and .msg email files into a structured HeaderAnalysis model. Performs SPF, DKIM, and DMARC validation. Walks the Received chain to find the true originating IP. Flags routing anomalies.</w:t>
            </w:r>
          </w:p>
        </w:tc>
      </w:tr>
      <w:tr>
        <w:tc>
          <w:tcPr>
            <w:tcW w:type="dxa" w:w="2000"/>
            <w:tcBorders>
              <w:top w:val="single" w:color="D1D5DB" w:sz="1"/>
              <w:left w:val="single" w:color="D1D5DB" w:sz="1"/>
              <w:bottom w:val="single" w:color="D1D5DB" w:sz="1"/>
              <w:right w:val="single" w:color="D1D5DB" w:sz="1"/>
            </w:tcBorders>
            <w:shd w:fill="F7F8FA" w:val="clear"/>
            <w:tcMar>
              <w:top w:type="dxa" w:w="100"/>
              <w:left w:type="dxa" w:w="140"/>
              <w:bottom w:type="dxa" w:w="100"/>
              <w:right w:type="dxa" w:w="140"/>
            </w:tcMar>
          </w:tcPr>
          <w:p>
            <w:pPr>
              <w:spacing w:before="0" w:after="0"/>
            </w:pPr>
            <w:r>
              <w:rPr>
                <w:rFonts w:ascii="Arial" w:cs="Arial" w:eastAsia="Arial" w:hAnsi="Arial"/>
                <w:b/>
                <w:bCs/>
                <w:color w:val="1B2A4A"/>
                <w:sz w:val="20"/>
                <w:szCs w:val="20"/>
              </w:rPr>
              <w:t xml:space="preserve">Inputs</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.eml or .msg file path (str)</w:t>
            </w:r>
          </w:p>
        </w:tc>
      </w:tr>
      <w:tr>
        <w:tc>
          <w:tcPr>
            <w:tcW w:type="dxa" w:w="2000"/>
            <w:tcBorders>
              <w:top w:val="single" w:color="D1D5DB" w:sz="1"/>
              <w:left w:val="single" w:color="D1D5DB" w:sz="1"/>
              <w:bottom w:val="single" w:color="D1D5DB" w:sz="1"/>
              <w:right w:val="single" w:color="D1D5DB" w:sz="1"/>
            </w:tcBorders>
            <w:shd w:fill="F7F8FA" w:val="clear"/>
            <w:tcMar>
              <w:top w:type="dxa" w:w="100"/>
              <w:left w:type="dxa" w:w="140"/>
              <w:bottom w:type="dxa" w:w="100"/>
              <w:right w:type="dxa" w:w="140"/>
            </w:tcMar>
          </w:tcPr>
          <w:p>
            <w:pPr>
              <w:spacing w:before="0" w:after="0"/>
            </w:pPr>
            <w:r>
              <w:rPr>
                <w:rFonts w:ascii="Arial" w:cs="Arial" w:eastAsia="Arial" w:hAnsi="Arial"/>
                <w:b/>
                <w:bCs/>
                <w:color w:val="1B2A4A"/>
                <w:sz w:val="20"/>
                <w:szCs w:val="20"/>
              </w:rPr>
              <w:t xml:space="preserve">Outputs</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HeaderAnalysis Pydantic model</w:t>
            </w:r>
          </w:p>
        </w:tc>
      </w:tr>
      <w:tr>
        <w:tc>
          <w:tcPr>
            <w:tcW w:type="dxa" w:w="2000"/>
            <w:tcBorders>
              <w:top w:val="single" w:color="D1D5DB" w:sz="1"/>
              <w:left w:val="single" w:color="D1D5DB" w:sz="1"/>
              <w:bottom w:val="single" w:color="D1D5DB" w:sz="1"/>
              <w:right w:val="single" w:color="D1D5DB" w:sz="1"/>
            </w:tcBorders>
            <w:shd w:fill="F7F8FA" w:val="clear"/>
            <w:tcMar>
              <w:top w:type="dxa" w:w="100"/>
              <w:left w:type="dxa" w:w="140"/>
              <w:bottom w:type="dxa" w:w="100"/>
              <w:right w:type="dxa" w:w="140"/>
            </w:tcMar>
          </w:tcPr>
          <w:p>
            <w:pPr>
              <w:spacing w:before="0" w:after="0"/>
            </w:pPr>
            <w:r>
              <w:rPr>
                <w:rFonts w:ascii="Arial" w:cs="Arial" w:eastAsia="Arial" w:hAnsi="Arial"/>
                <w:b/>
                <w:bCs/>
                <w:color w:val="1B2A4A"/>
                <w:sz w:val="20"/>
                <w:szCs w:val="20"/>
              </w:rPr>
              <w:t xml:space="preserve">Key Dependencies</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mail-parser, extract-msg, pyspf, dkimpy, checkdmarc, dnspython</w:t>
            </w:r>
          </w:p>
        </w:tc>
      </w:tr>
      <w:tr>
        <w:tc>
          <w:tcPr>
            <w:tcW w:type="dxa" w:w="2000"/>
            <w:tcBorders>
              <w:top w:val="single" w:color="D1D5DB" w:sz="1"/>
              <w:left w:val="single" w:color="D1D5DB" w:sz="1"/>
              <w:bottom w:val="single" w:color="D1D5DB" w:sz="1"/>
              <w:right w:val="single" w:color="D1D5DB" w:sz="1"/>
            </w:tcBorders>
            <w:shd w:fill="F7F8FA" w:val="clear"/>
            <w:tcMar>
              <w:top w:type="dxa" w:w="100"/>
              <w:left w:type="dxa" w:w="140"/>
              <w:bottom w:type="dxa" w:w="100"/>
              <w:right w:type="dxa" w:w="140"/>
            </w:tcMar>
          </w:tcPr>
          <w:p>
            <w:pPr>
              <w:spacing w:before="0" w:after="0"/>
            </w:pPr>
            <w:r>
              <w:rPr>
                <w:rFonts w:ascii="Arial" w:cs="Arial" w:eastAsia="Arial" w:hAnsi="Arial"/>
                <w:b/>
                <w:bCs/>
                <w:color w:val="1B2A4A"/>
                <w:sz w:val="20"/>
                <w:szCs w:val="20"/>
              </w:rPr>
              <w:t xml:space="preserve">Critical Pitfall</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Never trust Authentication-Results headers added by relay servers. Only consume the topmost header added by the final receiving MTA. Validate this by checking the first Received header's "by" hostname matches your expected mail gateway.</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0D7377"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Module</w:t>
            </w:r>
          </w:p>
        </w:tc>
        <w:tc>
          <w:tcPr>
            <w:tcW w:type="dxa" w:w="7360"/>
            <w:tcBorders>
              <w:top w:val="single" w:color="D1D5DB" w:sz="1"/>
              <w:left w:val="single" w:color="D1D5DB" w:sz="1"/>
              <w:bottom w:val="single" w:color="D1D5DB" w:sz="1"/>
              <w:right w:val="single" w:color="D1D5DB" w:sz="1"/>
            </w:tcBorders>
            <w:shd w:fill="E8F6F6"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IOC Extractor</w:t>
            </w:r>
          </w:p>
        </w:tc>
      </w:tr>
      <w:tr>
        <w:tc>
          <w:tcPr>
            <w:tcW w:type="dxa" w:w="2000"/>
            <w:tcBorders>
              <w:top w:val="single" w:color="D1D5DB" w:sz="1"/>
              <w:left w:val="single" w:color="D1D5DB" w:sz="1"/>
              <w:bottom w:val="single" w:color="D1D5DB" w:sz="1"/>
              <w:right w:val="single" w:color="D1D5DB" w:sz="1"/>
            </w:tcBorders>
            <w:shd w:fill="F7F8FA" w:val="clear"/>
            <w:tcMar>
              <w:top w:type="dxa" w:w="100"/>
              <w:left w:type="dxa" w:w="140"/>
              <w:bottom w:type="dxa" w:w="100"/>
              <w:right w:type="dxa" w:w="140"/>
            </w:tcMar>
          </w:tcPr>
          <w:p>
            <w:pPr>
              <w:spacing w:before="0" w:after="0"/>
            </w:pPr>
            <w:r>
              <w:rPr>
                <w:rFonts w:ascii="Arial" w:cs="Arial" w:eastAsia="Arial" w:hAnsi="Arial"/>
                <w:b/>
                <w:bCs/>
                <w:color w:val="1B2A4A"/>
                <w:sz w:val="20"/>
                <w:szCs w:val="20"/>
              </w:rPr>
              <w:t xml:space="preserve">File</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lure/modules/extractor.py</w:t>
            </w:r>
          </w:p>
        </w:tc>
      </w:tr>
      <w:tr>
        <w:tc>
          <w:tcPr>
            <w:tcW w:type="dxa" w:w="2000"/>
            <w:tcBorders>
              <w:top w:val="single" w:color="D1D5DB" w:sz="1"/>
              <w:left w:val="single" w:color="D1D5DB" w:sz="1"/>
              <w:bottom w:val="single" w:color="D1D5DB" w:sz="1"/>
              <w:right w:val="single" w:color="D1D5DB" w:sz="1"/>
            </w:tcBorders>
            <w:shd w:fill="F7F8FA" w:val="clear"/>
            <w:tcMar>
              <w:top w:type="dxa" w:w="100"/>
              <w:left w:type="dxa" w:w="140"/>
              <w:bottom w:type="dxa" w:w="100"/>
              <w:right w:type="dxa" w:w="140"/>
            </w:tcMar>
          </w:tcPr>
          <w:p>
            <w:pPr>
              <w:spacing w:before="0" w:after="0"/>
            </w:pPr>
            <w:r>
              <w:rPr>
                <w:rFonts w:ascii="Arial" w:cs="Arial" w:eastAsia="Arial" w:hAnsi="Arial"/>
                <w:b/>
                <w:bCs/>
                <w:color w:val="1B2A4A"/>
                <w:sz w:val="20"/>
                <w:szCs w:val="20"/>
              </w:rPr>
              <w:t xml:space="preserve">Description</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Extracts and deduplicates all IOCs from email body (plain text + HTML), headers, and all MIME part attachments. Runs defanging/refanging on all extracted values before deduplication. Validates extracted domains against IANA public suffix list.</w:t>
            </w:r>
          </w:p>
        </w:tc>
      </w:tr>
      <w:tr>
        <w:tc>
          <w:tcPr>
            <w:tcW w:type="dxa" w:w="2000"/>
            <w:tcBorders>
              <w:top w:val="single" w:color="D1D5DB" w:sz="1"/>
              <w:left w:val="single" w:color="D1D5DB" w:sz="1"/>
              <w:bottom w:val="single" w:color="D1D5DB" w:sz="1"/>
              <w:right w:val="single" w:color="D1D5DB" w:sz="1"/>
            </w:tcBorders>
            <w:shd w:fill="F7F8FA" w:val="clear"/>
            <w:tcMar>
              <w:top w:type="dxa" w:w="100"/>
              <w:left w:type="dxa" w:w="140"/>
              <w:bottom w:type="dxa" w:w="100"/>
              <w:right w:type="dxa" w:w="140"/>
            </w:tcMar>
          </w:tcPr>
          <w:p>
            <w:pPr>
              <w:spacing w:before="0" w:after="0"/>
            </w:pPr>
            <w:r>
              <w:rPr>
                <w:rFonts w:ascii="Arial" w:cs="Arial" w:eastAsia="Arial" w:hAnsi="Arial"/>
                <w:b/>
                <w:bCs/>
                <w:color w:val="1B2A4A"/>
                <w:sz w:val="20"/>
                <w:szCs w:val="20"/>
              </w:rPr>
              <w:t xml:space="preserve">Inputs</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List of MIME parts (body, attachments) as strings/bytes</w:t>
            </w:r>
          </w:p>
        </w:tc>
      </w:tr>
      <w:tr>
        <w:tc>
          <w:tcPr>
            <w:tcW w:type="dxa" w:w="2000"/>
            <w:tcBorders>
              <w:top w:val="single" w:color="D1D5DB" w:sz="1"/>
              <w:left w:val="single" w:color="D1D5DB" w:sz="1"/>
              <w:bottom w:val="single" w:color="D1D5DB" w:sz="1"/>
              <w:right w:val="single" w:color="D1D5DB" w:sz="1"/>
            </w:tcBorders>
            <w:shd w:fill="F7F8FA" w:val="clear"/>
            <w:tcMar>
              <w:top w:type="dxa" w:w="100"/>
              <w:left w:type="dxa" w:w="140"/>
              <w:bottom w:type="dxa" w:w="100"/>
              <w:right w:type="dxa" w:w="140"/>
            </w:tcMar>
          </w:tcPr>
          <w:p>
            <w:pPr>
              <w:spacing w:before="0" w:after="0"/>
            </w:pPr>
            <w:r>
              <w:rPr>
                <w:rFonts w:ascii="Arial" w:cs="Arial" w:eastAsia="Arial" w:hAnsi="Arial"/>
                <w:b/>
                <w:bCs/>
                <w:color w:val="1B2A4A"/>
                <w:sz w:val="20"/>
                <w:szCs w:val="20"/>
              </w:rPr>
              <w:t xml:space="preserve">Outputs</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IOCSet Pydantic model (all types deduplicated)</w:t>
            </w:r>
          </w:p>
        </w:tc>
      </w:tr>
      <w:tr>
        <w:tc>
          <w:tcPr>
            <w:tcW w:type="dxa" w:w="2000"/>
            <w:tcBorders>
              <w:top w:val="single" w:color="D1D5DB" w:sz="1"/>
              <w:left w:val="single" w:color="D1D5DB" w:sz="1"/>
              <w:bottom w:val="single" w:color="D1D5DB" w:sz="1"/>
              <w:right w:val="single" w:color="D1D5DB" w:sz="1"/>
            </w:tcBorders>
            <w:shd w:fill="F7F8FA" w:val="clear"/>
            <w:tcMar>
              <w:top w:type="dxa" w:w="100"/>
              <w:left w:type="dxa" w:w="140"/>
              <w:bottom w:type="dxa" w:w="100"/>
              <w:right w:type="dxa" w:w="140"/>
            </w:tcMar>
          </w:tcPr>
          <w:p>
            <w:pPr>
              <w:spacing w:before="0" w:after="0"/>
            </w:pPr>
            <w:r>
              <w:rPr>
                <w:rFonts w:ascii="Arial" w:cs="Arial" w:eastAsia="Arial" w:hAnsi="Arial"/>
                <w:b/>
                <w:bCs/>
                <w:color w:val="1B2A4A"/>
                <w:sz w:val="20"/>
                <w:szCs w:val="20"/>
              </w:rPr>
              <w:t xml:space="preserve">Key Dependencies</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iocextract, iocsearcher, beautifulsoup4, pdfplumber, python-docx, oletools, urlextract, tldextract</w:t>
            </w:r>
          </w:p>
        </w:tc>
      </w:tr>
      <w:tr>
        <w:tc>
          <w:tcPr>
            <w:tcW w:type="dxa" w:w="2000"/>
            <w:tcBorders>
              <w:top w:val="single" w:color="D1D5DB" w:sz="1"/>
              <w:left w:val="single" w:color="D1D5DB" w:sz="1"/>
              <w:bottom w:val="single" w:color="D1D5DB" w:sz="1"/>
              <w:right w:val="single" w:color="D1D5DB" w:sz="1"/>
            </w:tcBorders>
            <w:shd w:fill="F7F8FA" w:val="clear"/>
            <w:tcMar>
              <w:top w:type="dxa" w:w="100"/>
              <w:left w:type="dxa" w:w="140"/>
              <w:bottom w:type="dxa" w:w="100"/>
              <w:right w:type="dxa" w:w="140"/>
            </w:tcMar>
          </w:tcPr>
          <w:p>
            <w:pPr>
              <w:spacing w:before="0" w:after="0"/>
            </w:pPr>
            <w:r>
              <w:rPr>
                <w:rFonts w:ascii="Arial" w:cs="Arial" w:eastAsia="Arial" w:hAnsi="Arial"/>
                <w:b/>
                <w:bCs/>
                <w:color w:val="1B2A4A"/>
                <w:sz w:val="20"/>
                <w:szCs w:val="20"/>
              </w:rPr>
              <w:t xml:space="preserve">Critical Pitfall</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The anchor text trap: always extract from href/src attributes (BeautifulSoup), not rendered HTML text. The visible link and the actual destination are different in every credential phishing email.</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6"/>
              <w:left w:val="single" w:color="0D7377" w:sz="6"/>
              <w:bottom w:val="none" w:color="FFFFFF" w:sz="0"/>
              <w:right w:val="none" w:color="FFFFFF" w:sz="0"/>
            </w:tcBorders>
            <w:shd w:fill="0D7377" w:val="clear"/>
            <w:tcMar>
              <w:top w:type="dxa" w:w="120"/>
              <w:left w:type="dxa" w:w="200"/>
              <w:bottom w:type="dxa" w:w="120"/>
              <w:right w:type="dxa" w:w="160"/>
            </w:tcMar>
          </w:tcPr>
          <w:p>
            <w:pPr>
              <w:spacing w:before="0" w:after="60"/>
            </w:pPr>
            <w:r>
              <w:rPr>
                <w:rFonts w:ascii="Arial" w:cs="Arial" w:eastAsia="Arial" w:hAnsi="Arial"/>
                <w:b/>
                <w:bCs/>
                <w:caps/>
                <w:color w:val="FFFFFF"/>
                <w:sz w:val="22"/>
                <w:szCs w:val="22"/>
              </w:rPr>
              <w:t xml:space="preserve">PHASE 2  </w:t>
            </w:r>
            <w:r>
              <w:rPr>
                <w:rFonts w:ascii="Arial" w:cs="Arial" w:eastAsia="Arial" w:hAnsi="Arial"/>
                <w:color w:val="CCDDFF"/>
                <w:sz w:val="20"/>
                <w:szCs w:val="20"/>
              </w:rPr>
              <w:t xml:space="preserve">  Weeks 3–4</w:t>
            </w:r>
          </w:p>
          <w:p>
            <w:pPr>
              <w:spacing w:before="0" w:after="0"/>
            </w:pPr>
            <w:r>
              <w:rPr>
                <w:rFonts w:ascii="Arial" w:cs="Arial" w:eastAsia="Arial" w:hAnsi="Arial"/>
                <w:b/>
                <w:bCs/>
                <w:color w:val="FFFFFF"/>
                <w:sz w:val="28"/>
                <w:szCs w:val="28"/>
              </w:rPr>
              <w:t xml:space="preserve">YARA Scanner &amp; Attachment Static Analysis</w:t>
            </w:r>
          </w:p>
        </w:tc>
      </w:tr>
      <w:tr>
        <w:tc>
          <w:tcPr>
            <w:tcW w:type="dxa" w:w="9360"/>
            <w:tcBorders>
              <w:top w:val="none" w:color="FFFFFF" w:sz="0"/>
              <w:left w:val="none" w:color="FFFFFF" w:sz="0"/>
              <w:bottom w:val="none" w:color="FFFFFF" w:sz="0"/>
              <w:right w:val="none" w:color="FFFFFF" w:sz="0"/>
            </w:tcBorders>
            <w:shd w:fill="E8F6F6" w:val="clear"/>
            <w:tcMar>
              <w:top w:type="dxa" w:w="100"/>
              <w:left w:type="dxa" w:w="200"/>
              <w:bottom w:type="dxa" w:w="80"/>
              <w:right w:type="dxa" w:w="160"/>
            </w:tcMar>
          </w:tcPr>
          <w:p>
            <w:pPr>
              <w:spacing w:before="0" w:after="0"/>
            </w:pPr>
            <w:r>
              <w:rPr>
                <w:rFonts w:ascii="Arial" w:cs="Arial" w:eastAsia="Arial" w:hAnsi="Arial"/>
                <w:b/>
                <w:bCs/>
                <w:color w:val="0D7377"/>
                <w:sz w:val="21"/>
                <w:szCs w:val="21"/>
              </w:rPr>
              <w:t xml:space="preserve">Objective: </w:t>
            </w:r>
            <w:r>
              <w:rPr>
                <w:rFonts w:ascii="Arial" w:cs="Arial" w:eastAsia="Arial" w:hAnsi="Arial"/>
                <w:color w:val="4A5568"/>
                <w:sz w:val="21"/>
                <w:szCs w:val="21"/>
              </w:rPr>
              <w:t xml:space="preserve">Build the YARA scanning engine and static attachment detonation module. End state: Lure produces attachment analysis with YARA matches, VBA macro extraction, and PDF element scoring for every email.</w:t>
            </w:r>
          </w:p>
        </w:tc>
      </w:tr>
      <w:tr>
        <w:tc>
          <w:tcPr>
            <w:tcW w:type="dxa" w:w="400"/>
            <w:tcBorders>
              <w:top w:val="none" w:color="FFFFFF" w:sz="0"/>
              <w:left w:val="none" w:color="FFFFFF" w:sz="0"/>
              <w:bottom w:val="none" w:color="FFFFFF" w:sz="0"/>
              <w:right w:val="none" w:color="FFFFFF" w:sz="0"/>
            </w:tcBorders>
            <w:shd w:fill="E8F6F6" w:val="clear"/>
            <w:tcMar>
              <w:top w:type="dxa" w:w="40"/>
              <w:left w:type="dxa" w:w="180"/>
              <w:bottom w:type="dxa" w:w="40"/>
              <w:right w:type="dxa" w:w="80"/>
            </w:tcMar>
          </w:tcPr>
          <w:p>
            <w:pPr>
              <w:spacing w:before="0" w:after="0"/>
            </w:pPr>
            <w:r>
              <w:rPr>
                <w:rFonts w:ascii="Arial" w:cs="Arial" w:eastAsia="Arial" w:hAnsi="Arial"/>
                <w:color w:val="0D7377"/>
                <w:sz w:val="22"/>
                <w:szCs w:val="22"/>
              </w:rPr>
              <w:t xml:space="preserve">▸</w:t>
            </w:r>
          </w:p>
        </w:tc>
        <w:tc>
          <w:tcPr>
            <w:tcW w:type="dxa" w:w="8960"/>
            <w:tcBorders>
              <w:top w:val="none" w:color="FFFFFF" w:sz="0"/>
              <w:left w:val="none" w:color="FFFFFF" w:sz="0"/>
              <w:bottom w:val="none" w:color="FFFFFF" w:sz="0"/>
              <w:right w:val="none" w:color="FFFFFF" w:sz="0"/>
            </w:tcBorders>
            <w:shd w:fill="E8F6F6"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Download and structure YARA rule sets: signature-base, InQuest/yara-rules, reversinglabs, PhishingKitHunter</w:t>
            </w:r>
          </w:p>
        </w:tc>
      </w:tr>
      <w:tr>
        <w:tc>
          <w:tcPr>
            <w:tcW w:type="dxa" w:w="400"/>
            <w:tcBorders>
              <w:top w:val="none" w:color="FFFFFF" w:sz="0"/>
              <w:left w:val="none" w:color="FFFFFF" w:sz="0"/>
              <w:bottom w:val="none" w:color="FFFFFF" w:sz="0"/>
              <w:right w:val="none" w:color="FFFFFF" w:sz="0"/>
            </w:tcBorders>
            <w:shd w:fill="E8F6F6" w:val="clear"/>
            <w:tcMar>
              <w:top w:type="dxa" w:w="40"/>
              <w:left w:type="dxa" w:w="180"/>
              <w:bottom w:type="dxa" w:w="40"/>
              <w:right w:type="dxa" w:w="80"/>
            </w:tcMar>
          </w:tcPr>
          <w:p>
            <w:pPr>
              <w:spacing w:before="0" w:after="0"/>
            </w:pPr>
            <w:r>
              <w:rPr>
                <w:rFonts w:ascii="Arial" w:cs="Arial" w:eastAsia="Arial" w:hAnsi="Arial"/>
                <w:color w:val="0D7377"/>
                <w:sz w:val="22"/>
                <w:szCs w:val="22"/>
              </w:rPr>
              <w:t xml:space="preserve">▸</w:t>
            </w:r>
          </w:p>
        </w:tc>
        <w:tc>
          <w:tcPr>
            <w:tcW w:type="dxa" w:w="8960"/>
            <w:tcBorders>
              <w:top w:val="none" w:color="FFFFFF" w:sz="0"/>
              <w:left w:val="none" w:color="FFFFFF" w:sz="0"/>
              <w:bottom w:val="none" w:color="FFFFFF" w:sz="0"/>
              <w:right w:val="none" w:color="FFFFFF" w:sz="0"/>
            </w:tcBorders>
            <w:shd w:fill="E8F6F6"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Implement rule compiler: compile all .yar files from rules/ directory at startup, cache compiled object</w:t>
            </w:r>
          </w:p>
        </w:tc>
      </w:tr>
      <w:tr>
        <w:tc>
          <w:tcPr>
            <w:tcW w:type="dxa" w:w="400"/>
            <w:tcBorders>
              <w:top w:val="none" w:color="FFFFFF" w:sz="0"/>
              <w:left w:val="none" w:color="FFFFFF" w:sz="0"/>
              <w:bottom w:val="none" w:color="FFFFFF" w:sz="0"/>
              <w:right w:val="none" w:color="FFFFFF" w:sz="0"/>
            </w:tcBorders>
            <w:shd w:fill="E8F6F6" w:val="clear"/>
            <w:tcMar>
              <w:top w:type="dxa" w:w="40"/>
              <w:left w:type="dxa" w:w="180"/>
              <w:bottom w:type="dxa" w:w="40"/>
              <w:right w:type="dxa" w:w="80"/>
            </w:tcMar>
          </w:tcPr>
          <w:p>
            <w:pPr>
              <w:spacing w:before="0" w:after="0"/>
            </w:pPr>
            <w:r>
              <w:rPr>
                <w:rFonts w:ascii="Arial" w:cs="Arial" w:eastAsia="Arial" w:hAnsi="Arial"/>
                <w:color w:val="0D7377"/>
                <w:sz w:val="22"/>
                <w:szCs w:val="22"/>
              </w:rPr>
              <w:t xml:space="preserve">▸</w:t>
            </w:r>
          </w:p>
        </w:tc>
        <w:tc>
          <w:tcPr>
            <w:tcW w:type="dxa" w:w="8960"/>
            <w:tcBorders>
              <w:top w:val="none" w:color="FFFFFF" w:sz="0"/>
              <w:left w:val="none" w:color="FFFFFF" w:sz="0"/>
              <w:bottom w:val="none" w:color="FFFFFF" w:sz="0"/>
              <w:right w:val="none" w:color="FFFFFF" w:sz="0"/>
            </w:tcBorders>
            <w:shd w:fill="E8F6F6"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Build yaramail-based scan orchestrator: scan headers, body, normalized body, each attachment separately</w:t>
            </w:r>
          </w:p>
        </w:tc>
      </w:tr>
      <w:tr>
        <w:tc>
          <w:tcPr>
            <w:tcW w:type="dxa" w:w="400"/>
            <w:tcBorders>
              <w:top w:val="none" w:color="FFFFFF" w:sz="0"/>
              <w:left w:val="none" w:color="FFFFFF" w:sz="0"/>
              <w:bottom w:val="none" w:color="FFFFFF" w:sz="0"/>
              <w:right w:val="none" w:color="FFFFFF" w:sz="0"/>
            </w:tcBorders>
            <w:shd w:fill="E8F6F6" w:val="clear"/>
            <w:tcMar>
              <w:top w:type="dxa" w:w="40"/>
              <w:left w:type="dxa" w:w="180"/>
              <w:bottom w:type="dxa" w:w="40"/>
              <w:right w:type="dxa" w:w="80"/>
            </w:tcMar>
          </w:tcPr>
          <w:p>
            <w:pPr>
              <w:spacing w:before="0" w:after="0"/>
            </w:pPr>
            <w:r>
              <w:rPr>
                <w:rFonts w:ascii="Arial" w:cs="Arial" w:eastAsia="Arial" w:hAnsi="Arial"/>
                <w:color w:val="0D7377"/>
                <w:sz w:val="22"/>
                <w:szCs w:val="22"/>
              </w:rPr>
              <w:t xml:space="preserve">▸</w:t>
            </w:r>
          </w:p>
        </w:tc>
        <w:tc>
          <w:tcPr>
            <w:tcW w:type="dxa" w:w="8960"/>
            <w:tcBorders>
              <w:top w:val="none" w:color="FFFFFF" w:sz="0"/>
              <w:left w:val="none" w:color="FFFFFF" w:sz="0"/>
              <w:bottom w:val="none" w:color="FFFFFF" w:sz="0"/>
              <w:right w:val="none" w:color="FFFFFF" w:sz="0"/>
            </w:tcBorders>
            <w:shd w:fill="E8F6F6"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Implement archive decompressor: ZIP (stdlib), RAR (rarfile), 7z (py7zr) — recursive to depth 3</w:t>
            </w:r>
          </w:p>
        </w:tc>
      </w:tr>
      <w:tr>
        <w:tc>
          <w:tcPr>
            <w:tcW w:type="dxa" w:w="400"/>
            <w:tcBorders>
              <w:top w:val="none" w:color="FFFFFF" w:sz="0"/>
              <w:left w:val="none" w:color="FFFFFF" w:sz="0"/>
              <w:bottom w:val="none" w:color="FFFFFF" w:sz="0"/>
              <w:right w:val="none" w:color="FFFFFF" w:sz="0"/>
            </w:tcBorders>
            <w:shd w:fill="E8F6F6" w:val="clear"/>
            <w:tcMar>
              <w:top w:type="dxa" w:w="40"/>
              <w:left w:type="dxa" w:w="180"/>
              <w:bottom w:type="dxa" w:w="40"/>
              <w:right w:type="dxa" w:w="80"/>
            </w:tcMar>
          </w:tcPr>
          <w:p>
            <w:pPr>
              <w:spacing w:before="0" w:after="0"/>
            </w:pPr>
            <w:r>
              <w:rPr>
                <w:rFonts w:ascii="Arial" w:cs="Arial" w:eastAsia="Arial" w:hAnsi="Arial"/>
                <w:color w:val="0D7377"/>
                <w:sz w:val="22"/>
                <w:szCs w:val="22"/>
              </w:rPr>
              <w:t xml:space="preserve">▸</w:t>
            </w:r>
          </w:p>
        </w:tc>
        <w:tc>
          <w:tcPr>
            <w:tcW w:type="dxa" w:w="8960"/>
            <w:tcBorders>
              <w:top w:val="none" w:color="FFFFFF" w:sz="0"/>
              <w:left w:val="none" w:color="FFFFFF" w:sz="0"/>
              <w:bottom w:val="none" w:color="FFFFFF" w:sz="0"/>
              <w:right w:val="none" w:color="FFFFFF" w:sz="0"/>
            </w:tcBorders>
            <w:shd w:fill="E8F6F6"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Implement file type detection by magic bytes (python-magic) before any scan or extraction</w:t>
            </w:r>
          </w:p>
        </w:tc>
      </w:tr>
      <w:tr>
        <w:tc>
          <w:tcPr>
            <w:tcW w:type="dxa" w:w="400"/>
            <w:tcBorders>
              <w:top w:val="none" w:color="FFFFFF" w:sz="0"/>
              <w:left w:val="none" w:color="FFFFFF" w:sz="0"/>
              <w:bottom w:val="none" w:color="FFFFFF" w:sz="0"/>
              <w:right w:val="none" w:color="FFFFFF" w:sz="0"/>
            </w:tcBorders>
            <w:shd w:fill="E8F6F6" w:val="clear"/>
            <w:tcMar>
              <w:top w:type="dxa" w:w="40"/>
              <w:left w:type="dxa" w:w="180"/>
              <w:bottom w:type="dxa" w:w="40"/>
              <w:right w:type="dxa" w:w="80"/>
            </w:tcMar>
          </w:tcPr>
          <w:p>
            <w:pPr>
              <w:spacing w:before="0" w:after="0"/>
            </w:pPr>
            <w:r>
              <w:rPr>
                <w:rFonts w:ascii="Arial" w:cs="Arial" w:eastAsia="Arial" w:hAnsi="Arial"/>
                <w:color w:val="0D7377"/>
                <w:sz w:val="22"/>
                <w:szCs w:val="22"/>
              </w:rPr>
              <w:t xml:space="preserve">▸</w:t>
            </w:r>
          </w:p>
        </w:tc>
        <w:tc>
          <w:tcPr>
            <w:tcW w:type="dxa" w:w="8960"/>
            <w:tcBorders>
              <w:top w:val="none" w:color="FFFFFF" w:sz="0"/>
              <w:left w:val="none" w:color="FFFFFF" w:sz="0"/>
              <w:bottom w:val="none" w:color="FFFFFF" w:sz="0"/>
              <w:right w:val="none" w:color="FFFFFF" w:sz="0"/>
            </w:tcBorders>
            <w:shd w:fill="E8F6F6"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Build VBA macro extractor via olevba: extract macro source, flag Shell/WScript/AutoOpen keywords</w:t>
            </w:r>
          </w:p>
        </w:tc>
      </w:tr>
      <w:tr>
        <w:tc>
          <w:tcPr>
            <w:tcW w:type="dxa" w:w="400"/>
            <w:tcBorders>
              <w:top w:val="none" w:color="FFFFFF" w:sz="0"/>
              <w:left w:val="none" w:color="FFFFFF" w:sz="0"/>
              <w:bottom w:val="none" w:color="FFFFFF" w:sz="0"/>
              <w:right w:val="none" w:color="FFFFFF" w:sz="0"/>
            </w:tcBorders>
            <w:shd w:fill="E8F6F6" w:val="clear"/>
            <w:tcMar>
              <w:top w:type="dxa" w:w="40"/>
              <w:left w:type="dxa" w:w="180"/>
              <w:bottom w:type="dxa" w:w="40"/>
              <w:right w:type="dxa" w:w="80"/>
            </w:tcMar>
          </w:tcPr>
          <w:p>
            <w:pPr>
              <w:spacing w:before="0" w:after="0"/>
            </w:pPr>
            <w:r>
              <w:rPr>
                <w:rFonts w:ascii="Arial" w:cs="Arial" w:eastAsia="Arial" w:hAnsi="Arial"/>
                <w:color w:val="0D7377"/>
                <w:sz w:val="22"/>
                <w:szCs w:val="22"/>
              </w:rPr>
              <w:t xml:space="preserve">▸</w:t>
            </w:r>
          </w:p>
        </w:tc>
        <w:tc>
          <w:tcPr>
            <w:tcW w:type="dxa" w:w="8960"/>
            <w:tcBorders>
              <w:top w:val="none" w:color="FFFFFF" w:sz="0"/>
              <w:left w:val="none" w:color="FFFFFF" w:sz="0"/>
              <w:bottom w:val="none" w:color="FFFFFF" w:sz="0"/>
              <w:right w:val="none" w:color="FFFFFF" w:sz="0"/>
            </w:tcBorders>
            <w:shd w:fill="E8F6F6"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Build PDF scorer via pdfid: count /JS, /OpenAction, /Launch, /EmbeddedFile, /AA elements</w:t>
            </w:r>
          </w:p>
        </w:tc>
      </w:tr>
      <w:tr>
        <w:tc>
          <w:tcPr>
            <w:tcW w:type="dxa" w:w="400"/>
            <w:tcBorders>
              <w:top w:val="none" w:color="FFFFFF" w:sz="0"/>
              <w:left w:val="none" w:color="FFFFFF" w:sz="0"/>
              <w:bottom w:val="none" w:color="FFFFFF" w:sz="0"/>
              <w:right w:val="none" w:color="FFFFFF" w:sz="0"/>
            </w:tcBorders>
            <w:shd w:fill="E8F6F6" w:val="clear"/>
            <w:tcMar>
              <w:top w:type="dxa" w:w="40"/>
              <w:left w:type="dxa" w:w="180"/>
              <w:bottom w:type="dxa" w:w="40"/>
              <w:right w:type="dxa" w:w="80"/>
            </w:tcMar>
          </w:tcPr>
          <w:p>
            <w:pPr>
              <w:spacing w:before="0" w:after="0"/>
            </w:pPr>
            <w:r>
              <w:rPr>
                <w:rFonts w:ascii="Arial" w:cs="Arial" w:eastAsia="Arial" w:hAnsi="Arial"/>
                <w:color w:val="0D7377"/>
                <w:sz w:val="22"/>
                <w:szCs w:val="22"/>
              </w:rPr>
              <w:t xml:space="preserve">▸</w:t>
            </w:r>
          </w:p>
        </w:tc>
        <w:tc>
          <w:tcPr>
            <w:tcW w:type="dxa" w:w="8960"/>
            <w:tcBorders>
              <w:top w:val="none" w:color="FFFFFF" w:sz="0"/>
              <w:left w:val="none" w:color="FFFFFF" w:sz="0"/>
              <w:bottom w:val="none" w:color="FFFFFF" w:sz="0"/>
              <w:right w:val="none" w:color="FFFFFF" w:sz="0"/>
            </w:tcBorders>
            <w:shd w:fill="E8F6F6"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Implement XLM macro deobfuscator via XLMMacroDeobfuscator for Excel 4.0 macros</w:t>
            </w:r>
          </w:p>
        </w:tc>
      </w:tr>
      <w:tr>
        <w:tc>
          <w:tcPr>
            <w:tcW w:type="dxa" w:w="400"/>
            <w:tcBorders>
              <w:top w:val="none" w:color="FFFFFF" w:sz="0"/>
              <w:left w:val="none" w:color="FFFFFF" w:sz="0"/>
              <w:bottom w:val="none" w:color="FFFFFF" w:sz="0"/>
              <w:right w:val="none" w:color="FFFFFF" w:sz="0"/>
            </w:tcBorders>
            <w:shd w:fill="E8F6F6" w:val="clear"/>
            <w:tcMar>
              <w:top w:type="dxa" w:w="40"/>
              <w:left w:type="dxa" w:w="180"/>
              <w:bottom w:type="dxa" w:w="40"/>
              <w:right w:type="dxa" w:w="80"/>
            </w:tcMar>
          </w:tcPr>
          <w:p>
            <w:pPr>
              <w:spacing w:before="0" w:after="0"/>
            </w:pPr>
            <w:r>
              <w:rPr>
                <w:rFonts w:ascii="Arial" w:cs="Arial" w:eastAsia="Arial" w:hAnsi="Arial"/>
                <w:color w:val="0D7377"/>
                <w:sz w:val="22"/>
                <w:szCs w:val="22"/>
              </w:rPr>
              <w:t xml:space="preserve">▸</w:t>
            </w:r>
          </w:p>
        </w:tc>
        <w:tc>
          <w:tcPr>
            <w:tcW w:type="dxa" w:w="8960"/>
            <w:tcBorders>
              <w:top w:val="none" w:color="FFFFFF" w:sz="0"/>
              <w:left w:val="none" w:color="FFFFFF" w:sz="0"/>
              <w:bottom w:val="none" w:color="FFFFFF" w:sz="0"/>
              <w:right w:val="none" w:color="FFFFFF" w:sz="0"/>
            </w:tcBorders>
            <w:shd w:fill="E8F6F6"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Build --learn mode: run yarGen on a confirmed sample, present generated rule to analyst for review</w:t>
            </w:r>
          </w:p>
        </w:tc>
      </w:tr>
      <w:tr>
        <w:tc>
          <w:tcPr>
            <w:tcW w:type="dxa" w:w="400"/>
            <w:tcBorders>
              <w:top w:val="none" w:color="FFFFFF" w:sz="0"/>
              <w:left w:val="none" w:color="FFFFFF" w:sz="0"/>
              <w:bottom w:val="none" w:color="FFFFFF" w:sz="0"/>
              <w:right w:val="none" w:color="FFFFFF" w:sz="0"/>
            </w:tcBorders>
            <w:shd w:fill="E8F6F6" w:val="clear"/>
            <w:tcMar>
              <w:top w:type="dxa" w:w="40"/>
              <w:left w:type="dxa" w:w="180"/>
              <w:bottom w:type="dxa" w:w="40"/>
              <w:right w:type="dxa" w:w="80"/>
            </w:tcMar>
          </w:tcPr>
          <w:p>
            <w:pPr>
              <w:spacing w:before="0" w:after="0"/>
            </w:pPr>
            <w:r>
              <w:rPr>
                <w:rFonts w:ascii="Arial" w:cs="Arial" w:eastAsia="Arial" w:hAnsi="Arial"/>
                <w:color w:val="0D7377"/>
                <w:sz w:val="22"/>
                <w:szCs w:val="22"/>
              </w:rPr>
              <w:t xml:space="preserve">▸</w:t>
            </w:r>
          </w:p>
        </w:tc>
        <w:tc>
          <w:tcPr>
            <w:tcW w:type="dxa" w:w="8960"/>
            <w:tcBorders>
              <w:top w:val="none" w:color="FFFFFF" w:sz="0"/>
              <w:left w:val="none" w:color="FFFFFF" w:sz="0"/>
              <w:bottom w:val="none" w:color="FFFFFF" w:sz="0"/>
              <w:right w:val="none" w:color="FFFFFF" w:sz="0"/>
            </w:tcBorders>
            <w:shd w:fill="E8F6F6"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Write pytest suite with YARA match tests using safe EICAR-style test strings</w:t>
            </w:r>
          </w:p>
        </w:tc>
      </w:tr>
      <w:tr>
        <w:tc>
          <w:tcPr>
            <w:tcW w:type="dxa" w:w="9360"/>
            <w:tcBorders>
              <w:top w:val="none" w:color="FFFFFF" w:sz="0"/>
              <w:left w:val="none" w:color="FFFFFF" w:sz="0"/>
              <w:bottom w:val="single" w:color="0D7377" w:sz="3"/>
              <w:right w:val="none" w:color="FFFFFF" w:sz="0"/>
            </w:tcBorders>
            <w:shd w:fill="E8F6F6" w:val="clear"/>
            <w:tcMar>
              <w:top w:type="dxa" w:w="80"/>
              <w:left w:type="dxa" w:w="200"/>
              <w:bottom w:type="dxa" w:w="60"/>
              <w:right w:type="dxa" w:w="160"/>
            </w:tcMar>
          </w:tcPr>
          <w:p>
            <w:pPr>
              <w:spacing w:before="0" w:after="0"/>
            </w:pPr>
            <w:r>
              <w:t xml:space="preserve"/>
            </w:r>
          </w:p>
        </w:tc>
      </w:tr>
    </w:tbl>
    <w:p>
      <w:pPr>
        <w:spacing w:before="160" w:after="0"/>
      </w:pPr>
      <w:r>
        <w:t xml:space="preserve"/>
      </w:r>
    </w:p>
    <w:p>
      <w:pPr>
        <w:pStyle w:val="Heading3"/>
        <w:spacing w:before="240" w:after="80"/>
      </w:pPr>
      <w:r>
        <w:rPr>
          <w:rFonts w:ascii="Arial" w:cs="Arial" w:eastAsia="Arial" w:hAnsi="Arial"/>
          <w:b/>
          <w:bCs/>
          <w:color w:val="0D7377"/>
          <w:sz w:val="24"/>
          <w:szCs w:val="24"/>
        </w:rPr>
        <w:t xml:space="preserve">Phase 2 Module Specification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0D7377"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Module</w:t>
            </w:r>
          </w:p>
        </w:tc>
        <w:tc>
          <w:tcPr>
            <w:tcW w:type="dxa" w:w="7360"/>
            <w:tcBorders>
              <w:top w:val="single" w:color="D1D5DB" w:sz="1"/>
              <w:left w:val="single" w:color="D1D5DB" w:sz="1"/>
              <w:bottom w:val="single" w:color="D1D5DB" w:sz="1"/>
              <w:right w:val="single" w:color="D1D5DB" w:sz="1"/>
            </w:tcBorders>
            <w:shd w:fill="E8F6F6"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YARA Scanner</w:t>
            </w:r>
          </w:p>
        </w:tc>
      </w:tr>
      <w:tr>
        <w:tc>
          <w:tcPr>
            <w:tcW w:type="dxa" w:w="2000"/>
            <w:tcBorders>
              <w:top w:val="single" w:color="D1D5DB" w:sz="1"/>
              <w:left w:val="single" w:color="D1D5DB" w:sz="1"/>
              <w:bottom w:val="single" w:color="D1D5DB" w:sz="1"/>
              <w:right w:val="single" w:color="D1D5DB" w:sz="1"/>
            </w:tcBorders>
            <w:shd w:fill="F7F8FA" w:val="clear"/>
            <w:tcMar>
              <w:top w:type="dxa" w:w="100"/>
              <w:left w:type="dxa" w:w="140"/>
              <w:bottom w:type="dxa" w:w="100"/>
              <w:right w:type="dxa" w:w="140"/>
            </w:tcMar>
          </w:tcPr>
          <w:p>
            <w:pPr>
              <w:spacing w:before="0" w:after="0"/>
            </w:pPr>
            <w:r>
              <w:rPr>
                <w:rFonts w:ascii="Arial" w:cs="Arial" w:eastAsia="Arial" w:hAnsi="Arial"/>
                <w:b/>
                <w:bCs/>
                <w:color w:val="1B2A4A"/>
                <w:sz w:val="20"/>
                <w:szCs w:val="20"/>
              </w:rPr>
              <w:t xml:space="preserve">File</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lure/modules/scanner.py</w:t>
            </w:r>
          </w:p>
        </w:tc>
      </w:tr>
      <w:tr>
        <w:tc>
          <w:tcPr>
            <w:tcW w:type="dxa" w:w="2000"/>
            <w:tcBorders>
              <w:top w:val="single" w:color="D1D5DB" w:sz="1"/>
              <w:left w:val="single" w:color="D1D5DB" w:sz="1"/>
              <w:bottom w:val="single" w:color="D1D5DB" w:sz="1"/>
              <w:right w:val="single" w:color="D1D5DB" w:sz="1"/>
            </w:tcBorders>
            <w:shd w:fill="F7F8FA" w:val="clear"/>
            <w:tcMar>
              <w:top w:type="dxa" w:w="100"/>
              <w:left w:type="dxa" w:w="140"/>
              <w:bottom w:type="dxa" w:w="100"/>
              <w:right w:type="dxa" w:w="140"/>
            </w:tcMar>
          </w:tcPr>
          <w:p>
            <w:pPr>
              <w:spacing w:before="0" w:after="0"/>
            </w:pPr>
            <w:r>
              <w:rPr>
                <w:rFonts w:ascii="Arial" w:cs="Arial" w:eastAsia="Arial" w:hAnsi="Arial"/>
                <w:b/>
                <w:bCs/>
                <w:color w:val="1B2A4A"/>
                <w:sz w:val="20"/>
                <w:szCs w:val="20"/>
              </w:rPr>
              <w:t xml:space="preserve">Description</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Orchestrates YARA scanning of all email components using the four-part yaramail model. Decompresses archives before scanning. Detects file types by magic bytes. Runs olevba and pdfid for document-specific static analysis.</w:t>
            </w:r>
          </w:p>
        </w:tc>
      </w:tr>
      <w:tr>
        <w:tc>
          <w:tcPr>
            <w:tcW w:type="dxa" w:w="2000"/>
            <w:tcBorders>
              <w:top w:val="single" w:color="D1D5DB" w:sz="1"/>
              <w:left w:val="single" w:color="D1D5DB" w:sz="1"/>
              <w:bottom w:val="single" w:color="D1D5DB" w:sz="1"/>
              <w:right w:val="single" w:color="D1D5DB" w:sz="1"/>
            </w:tcBorders>
            <w:shd w:fill="F7F8FA" w:val="clear"/>
            <w:tcMar>
              <w:top w:type="dxa" w:w="100"/>
              <w:left w:type="dxa" w:w="140"/>
              <w:bottom w:type="dxa" w:w="100"/>
              <w:right w:type="dxa" w:w="140"/>
            </w:tcMar>
          </w:tcPr>
          <w:p>
            <w:pPr>
              <w:spacing w:before="0" w:after="0"/>
            </w:pPr>
            <w:r>
              <w:rPr>
                <w:rFonts w:ascii="Arial" w:cs="Arial" w:eastAsia="Arial" w:hAnsi="Arial"/>
                <w:b/>
                <w:bCs/>
                <w:color w:val="1B2A4A"/>
                <w:sz w:val="20"/>
                <w:szCs w:val="20"/>
              </w:rPr>
              <w:t xml:space="preserve">Inputs</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List of MIME parts + attachment bytes (from parser output)</w:t>
            </w:r>
          </w:p>
        </w:tc>
      </w:tr>
      <w:tr>
        <w:tc>
          <w:tcPr>
            <w:tcW w:type="dxa" w:w="2000"/>
            <w:tcBorders>
              <w:top w:val="single" w:color="D1D5DB" w:sz="1"/>
              <w:left w:val="single" w:color="D1D5DB" w:sz="1"/>
              <w:bottom w:val="single" w:color="D1D5DB" w:sz="1"/>
              <w:right w:val="single" w:color="D1D5DB" w:sz="1"/>
            </w:tcBorders>
            <w:shd w:fill="F7F8FA" w:val="clear"/>
            <w:tcMar>
              <w:top w:type="dxa" w:w="100"/>
              <w:left w:type="dxa" w:w="140"/>
              <w:bottom w:type="dxa" w:w="100"/>
              <w:right w:type="dxa" w:w="140"/>
            </w:tcMar>
          </w:tcPr>
          <w:p>
            <w:pPr>
              <w:spacing w:before="0" w:after="0"/>
            </w:pPr>
            <w:r>
              <w:rPr>
                <w:rFonts w:ascii="Arial" w:cs="Arial" w:eastAsia="Arial" w:hAnsi="Arial"/>
                <w:b/>
                <w:bCs/>
                <w:color w:val="1B2A4A"/>
                <w:sz w:val="20"/>
                <w:szCs w:val="20"/>
              </w:rPr>
              <w:t xml:space="preserve">Outputs</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YARAMatchSet + list[AttachmentAnalysis]</w:t>
            </w:r>
          </w:p>
        </w:tc>
      </w:tr>
      <w:tr>
        <w:tc>
          <w:tcPr>
            <w:tcW w:type="dxa" w:w="2000"/>
            <w:tcBorders>
              <w:top w:val="single" w:color="D1D5DB" w:sz="1"/>
              <w:left w:val="single" w:color="D1D5DB" w:sz="1"/>
              <w:bottom w:val="single" w:color="D1D5DB" w:sz="1"/>
              <w:right w:val="single" w:color="D1D5DB" w:sz="1"/>
            </w:tcBorders>
            <w:shd w:fill="F7F8FA" w:val="clear"/>
            <w:tcMar>
              <w:top w:type="dxa" w:w="100"/>
              <w:left w:type="dxa" w:w="140"/>
              <w:bottom w:type="dxa" w:w="100"/>
              <w:right w:type="dxa" w:w="140"/>
            </w:tcMar>
          </w:tcPr>
          <w:p>
            <w:pPr>
              <w:spacing w:before="0" w:after="0"/>
            </w:pPr>
            <w:r>
              <w:rPr>
                <w:rFonts w:ascii="Arial" w:cs="Arial" w:eastAsia="Arial" w:hAnsi="Arial"/>
                <w:b/>
                <w:bCs/>
                <w:color w:val="1B2A4A"/>
                <w:sz w:val="20"/>
                <w:szCs w:val="20"/>
              </w:rPr>
              <w:t xml:space="preserve">Key Dependencies</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yara-python, yara-mail, python-magic, py7zr, rarfile, oletools</w:t>
            </w:r>
          </w:p>
        </w:tc>
      </w:tr>
      <w:tr>
        <w:tc>
          <w:tcPr>
            <w:tcW w:type="dxa" w:w="2000"/>
            <w:tcBorders>
              <w:top w:val="single" w:color="D1D5DB" w:sz="1"/>
              <w:left w:val="single" w:color="D1D5DB" w:sz="1"/>
              <w:bottom w:val="single" w:color="D1D5DB" w:sz="1"/>
              <w:right w:val="single" w:color="D1D5DB" w:sz="1"/>
            </w:tcBorders>
            <w:shd w:fill="F7F8FA" w:val="clear"/>
            <w:tcMar>
              <w:top w:type="dxa" w:w="100"/>
              <w:left w:type="dxa" w:w="140"/>
              <w:bottom w:type="dxa" w:w="100"/>
              <w:right w:type="dxa" w:w="140"/>
            </w:tcMar>
          </w:tcPr>
          <w:p>
            <w:pPr>
              <w:spacing w:before="0" w:after="0"/>
            </w:pPr>
            <w:r>
              <w:rPr>
                <w:rFonts w:ascii="Arial" w:cs="Arial" w:eastAsia="Arial" w:hAnsi="Arial"/>
                <w:b/>
                <w:bCs/>
                <w:color w:val="1B2A4A"/>
                <w:sz w:val="20"/>
                <w:szCs w:val="20"/>
              </w:rPr>
              <w:t xml:space="preserve">Critical Pitfall</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Compile YARA rules from source .yar files at startup — never distribute compiled .yarc objects, they are platform-specific and will silently produce incorrect results on different OS/YARA version combinations.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6"/>
              <w:left w:val="single" w:color="1E8449" w:sz="6"/>
              <w:bottom w:val="none" w:color="FFFFFF" w:sz="0"/>
              <w:right w:val="none" w:color="FFFFFF" w:sz="0"/>
            </w:tcBorders>
            <w:shd w:fill="1E8449" w:val="clear"/>
            <w:tcMar>
              <w:top w:type="dxa" w:w="120"/>
              <w:left w:type="dxa" w:w="200"/>
              <w:bottom w:type="dxa" w:w="120"/>
              <w:right w:type="dxa" w:w="160"/>
            </w:tcMar>
          </w:tcPr>
          <w:p>
            <w:pPr>
              <w:spacing w:before="0" w:after="60"/>
            </w:pPr>
            <w:r>
              <w:rPr>
                <w:rFonts w:ascii="Arial" w:cs="Arial" w:eastAsia="Arial" w:hAnsi="Arial"/>
                <w:b/>
                <w:bCs/>
                <w:caps/>
                <w:color w:val="FFFFFF"/>
                <w:sz w:val="22"/>
                <w:szCs w:val="22"/>
              </w:rPr>
              <w:t xml:space="preserve">PHASE 3  </w:t>
            </w:r>
            <w:r>
              <w:rPr>
                <w:rFonts w:ascii="Arial" w:cs="Arial" w:eastAsia="Arial" w:hAnsi="Arial"/>
                <w:color w:val="CCDDFF"/>
                <w:sz w:val="20"/>
                <w:szCs w:val="20"/>
              </w:rPr>
              <w:t xml:space="preserve">  Weeks 5–6</w:t>
            </w:r>
          </w:p>
          <w:p>
            <w:pPr>
              <w:spacing w:before="0" w:after="0"/>
            </w:pPr>
            <w:r>
              <w:rPr>
                <w:rFonts w:ascii="Arial" w:cs="Arial" w:eastAsia="Arial" w:hAnsi="Arial"/>
                <w:b/>
                <w:bCs/>
                <w:color w:val="FFFFFF"/>
                <w:sz w:val="28"/>
                <w:szCs w:val="28"/>
              </w:rPr>
              <w:t xml:space="preserve">Async Enrichment API Layer</w:t>
            </w:r>
          </w:p>
        </w:tc>
      </w:tr>
      <w:tr>
        <w:tc>
          <w:tcPr>
            <w:tcW w:type="dxa" w:w="9360"/>
            <w:tcBorders>
              <w:top w:val="none" w:color="FFFFFF" w:sz="0"/>
              <w:left w:val="none" w:color="FFFFFF" w:sz="0"/>
              <w:bottom w:val="none" w:color="FFFFFF" w:sz="0"/>
              <w:right w:val="none" w:color="FFFFFF" w:sz="0"/>
            </w:tcBorders>
            <w:shd w:fill="EAFAF1" w:val="clear"/>
            <w:tcMar>
              <w:top w:type="dxa" w:w="100"/>
              <w:left w:type="dxa" w:w="200"/>
              <w:bottom w:type="dxa" w:w="80"/>
              <w:right w:type="dxa" w:w="160"/>
            </w:tcMar>
          </w:tcPr>
          <w:p>
            <w:pPr>
              <w:spacing w:before="0" w:after="0"/>
            </w:pPr>
            <w:r>
              <w:rPr>
                <w:rFonts w:ascii="Arial" w:cs="Arial" w:eastAsia="Arial" w:hAnsi="Arial"/>
                <w:b/>
                <w:bCs/>
                <w:color w:val="1E8449"/>
                <w:sz w:val="21"/>
                <w:szCs w:val="21"/>
              </w:rPr>
              <w:t xml:space="preserve">Objective: </w:t>
            </w:r>
            <w:r>
              <w:rPr>
                <w:rFonts w:ascii="Arial" w:cs="Arial" w:eastAsia="Arial" w:hAnsi="Arial"/>
                <w:color w:val="4A5568"/>
                <w:sz w:val="21"/>
                <w:szCs w:val="21"/>
              </w:rPr>
              <w:t xml:space="preserve">Build the full async enrichment orchestrator with caching, deduplication, and rate-limit management. End state: Lure enriches all extracted IOCs against all six APIs concurrently, with results cached in SQLite and full HTML report output.</w:t>
            </w:r>
          </w:p>
        </w:tc>
      </w:tr>
      <w:tr>
        <w:tc>
          <w:tcPr>
            <w:tcW w:type="dxa" w:w="400"/>
            <w:tcBorders>
              <w:top w:val="none" w:color="FFFFFF" w:sz="0"/>
              <w:left w:val="none" w:color="FFFFFF" w:sz="0"/>
              <w:bottom w:val="none" w:color="FFFFFF" w:sz="0"/>
              <w:right w:val="none" w:color="FFFFFF" w:sz="0"/>
            </w:tcBorders>
            <w:shd w:fill="EAFAF1" w:val="clear"/>
            <w:tcMar>
              <w:top w:type="dxa" w:w="40"/>
              <w:left w:type="dxa" w:w="180"/>
              <w:bottom w:type="dxa" w:w="40"/>
              <w:right w:type="dxa" w:w="80"/>
            </w:tcMar>
          </w:tcPr>
          <w:p>
            <w:pPr>
              <w:spacing w:before="0" w:after="0"/>
            </w:pPr>
            <w:r>
              <w:rPr>
                <w:rFonts w:ascii="Arial" w:cs="Arial" w:eastAsia="Arial" w:hAnsi="Arial"/>
                <w:color w:val="1E8449"/>
                <w:sz w:val="22"/>
                <w:szCs w:val="22"/>
              </w:rPr>
              <w:t xml:space="preserve">▸</w:t>
            </w:r>
          </w:p>
        </w:tc>
        <w:tc>
          <w:tcPr>
            <w:tcW w:type="dxa" w:w="8960"/>
            <w:tcBorders>
              <w:top w:val="none" w:color="FFFFFF" w:sz="0"/>
              <w:left w:val="none" w:color="FFFFFF" w:sz="0"/>
              <w:bottom w:val="none" w:color="FFFFFF" w:sz="0"/>
              <w:right w:val="none" w:color="FFFFFF" w:sz="0"/>
            </w:tcBorders>
            <w:shd w:fill="EAFAF1"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Build SQLite TTL cache (cache.py): keyed by api_name:indicator, configurable TTL per API (VT=48h, AbuseIPDB=24h, Shodan=72h)</w:t>
            </w:r>
          </w:p>
        </w:tc>
      </w:tr>
      <w:tr>
        <w:tc>
          <w:tcPr>
            <w:tcW w:type="dxa" w:w="400"/>
            <w:tcBorders>
              <w:top w:val="none" w:color="FFFFFF" w:sz="0"/>
              <w:left w:val="none" w:color="FFFFFF" w:sz="0"/>
              <w:bottom w:val="none" w:color="FFFFFF" w:sz="0"/>
              <w:right w:val="none" w:color="FFFFFF" w:sz="0"/>
            </w:tcBorders>
            <w:shd w:fill="EAFAF1" w:val="clear"/>
            <w:tcMar>
              <w:top w:type="dxa" w:w="40"/>
              <w:left w:type="dxa" w:w="180"/>
              <w:bottom w:type="dxa" w:w="40"/>
              <w:right w:type="dxa" w:w="80"/>
            </w:tcMar>
          </w:tcPr>
          <w:p>
            <w:pPr>
              <w:spacing w:before="0" w:after="0"/>
            </w:pPr>
            <w:r>
              <w:rPr>
                <w:rFonts w:ascii="Arial" w:cs="Arial" w:eastAsia="Arial" w:hAnsi="Arial"/>
                <w:color w:val="1E8449"/>
                <w:sz w:val="22"/>
                <w:szCs w:val="22"/>
              </w:rPr>
              <w:t xml:space="preserve">▸</w:t>
            </w:r>
          </w:p>
        </w:tc>
        <w:tc>
          <w:tcPr>
            <w:tcW w:type="dxa" w:w="8960"/>
            <w:tcBorders>
              <w:top w:val="none" w:color="FFFFFF" w:sz="0"/>
              <w:left w:val="none" w:color="FFFFFF" w:sz="0"/>
              <w:bottom w:val="none" w:color="FFFFFF" w:sz="0"/>
              <w:right w:val="none" w:color="FFFFFF" w:sz="0"/>
            </w:tcBorders>
            <w:shd w:fill="EAFAF1"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Build async enrichment orchestrator (enricher.py): asyncio.gather with per-API asyncio.Semaphore for rate limiting</w:t>
            </w:r>
          </w:p>
        </w:tc>
      </w:tr>
      <w:tr>
        <w:tc>
          <w:tcPr>
            <w:tcW w:type="dxa" w:w="400"/>
            <w:tcBorders>
              <w:top w:val="none" w:color="FFFFFF" w:sz="0"/>
              <w:left w:val="none" w:color="FFFFFF" w:sz="0"/>
              <w:bottom w:val="none" w:color="FFFFFF" w:sz="0"/>
              <w:right w:val="none" w:color="FFFFFF" w:sz="0"/>
            </w:tcBorders>
            <w:shd w:fill="EAFAF1" w:val="clear"/>
            <w:tcMar>
              <w:top w:type="dxa" w:w="40"/>
              <w:left w:type="dxa" w:w="180"/>
              <w:bottom w:type="dxa" w:w="40"/>
              <w:right w:type="dxa" w:w="80"/>
            </w:tcMar>
          </w:tcPr>
          <w:p>
            <w:pPr>
              <w:spacing w:before="0" w:after="0"/>
            </w:pPr>
            <w:r>
              <w:rPr>
                <w:rFonts w:ascii="Arial" w:cs="Arial" w:eastAsia="Arial" w:hAnsi="Arial"/>
                <w:color w:val="1E8449"/>
                <w:sz w:val="22"/>
                <w:szCs w:val="22"/>
              </w:rPr>
              <w:t xml:space="preserve">▸</w:t>
            </w:r>
          </w:p>
        </w:tc>
        <w:tc>
          <w:tcPr>
            <w:tcW w:type="dxa" w:w="8960"/>
            <w:tcBorders>
              <w:top w:val="none" w:color="FFFFFF" w:sz="0"/>
              <w:left w:val="none" w:color="FFFFFF" w:sz="0"/>
              <w:bottom w:val="none" w:color="FFFFFF" w:sz="0"/>
              <w:right w:val="none" w:color="FFFFFF" w:sz="0"/>
            </w:tcBorders>
            <w:shd w:fill="EAFAF1"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Implement VirusTotal v3 client (vt-py): files, URLs, domains, IP addresses; handle 429 with exponential backoff</w:t>
            </w:r>
          </w:p>
        </w:tc>
      </w:tr>
      <w:tr>
        <w:tc>
          <w:tcPr>
            <w:tcW w:type="dxa" w:w="400"/>
            <w:tcBorders>
              <w:top w:val="none" w:color="FFFFFF" w:sz="0"/>
              <w:left w:val="none" w:color="FFFFFF" w:sz="0"/>
              <w:bottom w:val="none" w:color="FFFFFF" w:sz="0"/>
              <w:right w:val="none" w:color="FFFFFF" w:sz="0"/>
            </w:tcBorders>
            <w:shd w:fill="EAFAF1" w:val="clear"/>
            <w:tcMar>
              <w:top w:type="dxa" w:w="40"/>
              <w:left w:type="dxa" w:w="180"/>
              <w:bottom w:type="dxa" w:w="40"/>
              <w:right w:type="dxa" w:w="80"/>
            </w:tcMar>
          </w:tcPr>
          <w:p>
            <w:pPr>
              <w:spacing w:before="0" w:after="0"/>
            </w:pPr>
            <w:r>
              <w:rPr>
                <w:rFonts w:ascii="Arial" w:cs="Arial" w:eastAsia="Arial" w:hAnsi="Arial"/>
                <w:color w:val="1E8449"/>
                <w:sz w:val="22"/>
                <w:szCs w:val="22"/>
              </w:rPr>
              <w:t xml:space="preserve">▸</w:t>
            </w:r>
          </w:p>
        </w:tc>
        <w:tc>
          <w:tcPr>
            <w:tcW w:type="dxa" w:w="8960"/>
            <w:tcBorders>
              <w:top w:val="none" w:color="FFFFFF" w:sz="0"/>
              <w:left w:val="none" w:color="FFFFFF" w:sz="0"/>
              <w:bottom w:val="none" w:color="FFFFFF" w:sz="0"/>
              <w:right w:val="none" w:color="FFFFFF" w:sz="0"/>
            </w:tcBorders>
            <w:shd w:fill="EAFAF1"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Implement AbuseIPDB v2 client: /check endpoint, maxAgeInDays=90, parse all response fields</w:t>
            </w:r>
          </w:p>
        </w:tc>
      </w:tr>
      <w:tr>
        <w:tc>
          <w:tcPr>
            <w:tcW w:type="dxa" w:w="400"/>
            <w:tcBorders>
              <w:top w:val="none" w:color="FFFFFF" w:sz="0"/>
              <w:left w:val="none" w:color="FFFFFF" w:sz="0"/>
              <w:bottom w:val="none" w:color="FFFFFF" w:sz="0"/>
              <w:right w:val="none" w:color="FFFFFF" w:sz="0"/>
            </w:tcBorders>
            <w:shd w:fill="EAFAF1" w:val="clear"/>
            <w:tcMar>
              <w:top w:type="dxa" w:w="40"/>
              <w:left w:type="dxa" w:w="180"/>
              <w:bottom w:type="dxa" w:w="40"/>
              <w:right w:type="dxa" w:w="80"/>
            </w:tcMar>
          </w:tcPr>
          <w:p>
            <w:pPr>
              <w:spacing w:before="0" w:after="0"/>
            </w:pPr>
            <w:r>
              <w:rPr>
                <w:rFonts w:ascii="Arial" w:cs="Arial" w:eastAsia="Arial" w:hAnsi="Arial"/>
                <w:color w:val="1E8449"/>
                <w:sz w:val="22"/>
                <w:szCs w:val="22"/>
              </w:rPr>
              <w:t xml:space="preserve">▸</w:t>
            </w:r>
          </w:p>
        </w:tc>
        <w:tc>
          <w:tcPr>
            <w:tcW w:type="dxa" w:w="8960"/>
            <w:tcBorders>
              <w:top w:val="none" w:color="FFFFFF" w:sz="0"/>
              <w:left w:val="none" w:color="FFFFFF" w:sz="0"/>
              <w:bottom w:val="none" w:color="FFFFFF" w:sz="0"/>
              <w:right w:val="none" w:color="FFFFFF" w:sz="0"/>
            </w:tcBorders>
            <w:shd w:fill="EAFAF1"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Implement Shodan client: host lookup, extract org/ISP/ASN/ports/vulns, Tor exit node detection</w:t>
            </w:r>
          </w:p>
        </w:tc>
      </w:tr>
      <w:tr>
        <w:tc>
          <w:tcPr>
            <w:tcW w:type="dxa" w:w="400"/>
            <w:tcBorders>
              <w:top w:val="none" w:color="FFFFFF" w:sz="0"/>
              <w:left w:val="none" w:color="FFFFFF" w:sz="0"/>
              <w:bottom w:val="none" w:color="FFFFFF" w:sz="0"/>
              <w:right w:val="none" w:color="FFFFFF" w:sz="0"/>
            </w:tcBorders>
            <w:shd w:fill="EAFAF1" w:val="clear"/>
            <w:tcMar>
              <w:top w:type="dxa" w:w="40"/>
              <w:left w:type="dxa" w:w="180"/>
              <w:bottom w:type="dxa" w:w="40"/>
              <w:right w:type="dxa" w:w="80"/>
            </w:tcMar>
          </w:tcPr>
          <w:p>
            <w:pPr>
              <w:spacing w:before="0" w:after="0"/>
            </w:pPr>
            <w:r>
              <w:rPr>
                <w:rFonts w:ascii="Arial" w:cs="Arial" w:eastAsia="Arial" w:hAnsi="Arial"/>
                <w:color w:val="1E8449"/>
                <w:sz w:val="22"/>
                <w:szCs w:val="22"/>
              </w:rPr>
              <w:t xml:space="preserve">▸</w:t>
            </w:r>
          </w:p>
        </w:tc>
        <w:tc>
          <w:tcPr>
            <w:tcW w:type="dxa" w:w="8960"/>
            <w:tcBorders>
              <w:top w:val="none" w:color="FFFFFF" w:sz="0"/>
              <w:left w:val="none" w:color="FFFFFF" w:sz="0"/>
              <w:bottom w:val="none" w:color="FFFFFF" w:sz="0"/>
              <w:right w:val="none" w:color="FFFFFF" w:sz="0"/>
            </w:tcBorders>
            <w:shd w:fill="EAFAF1"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Implement urlscan.io async client: POST scan → poll /result/{uuid} every 5s → parse DOM, forms, verdicts</w:t>
            </w:r>
          </w:p>
        </w:tc>
      </w:tr>
      <w:tr>
        <w:tc>
          <w:tcPr>
            <w:tcW w:type="dxa" w:w="400"/>
            <w:tcBorders>
              <w:top w:val="none" w:color="FFFFFF" w:sz="0"/>
              <w:left w:val="none" w:color="FFFFFF" w:sz="0"/>
              <w:bottom w:val="none" w:color="FFFFFF" w:sz="0"/>
              <w:right w:val="none" w:color="FFFFFF" w:sz="0"/>
            </w:tcBorders>
            <w:shd w:fill="EAFAF1" w:val="clear"/>
            <w:tcMar>
              <w:top w:type="dxa" w:w="40"/>
              <w:left w:type="dxa" w:w="180"/>
              <w:bottom w:type="dxa" w:w="40"/>
              <w:right w:type="dxa" w:w="80"/>
            </w:tcMar>
          </w:tcPr>
          <w:p>
            <w:pPr>
              <w:spacing w:before="0" w:after="0"/>
            </w:pPr>
            <w:r>
              <w:rPr>
                <w:rFonts w:ascii="Arial" w:cs="Arial" w:eastAsia="Arial" w:hAnsi="Arial"/>
                <w:color w:val="1E8449"/>
                <w:sz w:val="22"/>
                <w:szCs w:val="22"/>
              </w:rPr>
              <w:t xml:space="preserve">▸</w:t>
            </w:r>
          </w:p>
        </w:tc>
        <w:tc>
          <w:tcPr>
            <w:tcW w:type="dxa" w:w="8960"/>
            <w:tcBorders>
              <w:top w:val="none" w:color="FFFFFF" w:sz="0"/>
              <w:left w:val="none" w:color="FFFFFF" w:sz="0"/>
              <w:bottom w:val="none" w:color="FFFFFF" w:sz="0"/>
              <w:right w:val="none" w:color="FFFFFF" w:sz="0"/>
            </w:tcBorders>
            <w:shd w:fill="EAFAF1"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Implement AlienVault OTX client: query by IP/domain/URL/hash, parse pulse tags and malware families</w:t>
            </w:r>
          </w:p>
        </w:tc>
      </w:tr>
      <w:tr>
        <w:tc>
          <w:tcPr>
            <w:tcW w:type="dxa" w:w="400"/>
            <w:tcBorders>
              <w:top w:val="none" w:color="FFFFFF" w:sz="0"/>
              <w:left w:val="none" w:color="FFFFFF" w:sz="0"/>
              <w:bottom w:val="none" w:color="FFFFFF" w:sz="0"/>
              <w:right w:val="none" w:color="FFFFFF" w:sz="0"/>
            </w:tcBorders>
            <w:shd w:fill="EAFAF1" w:val="clear"/>
            <w:tcMar>
              <w:top w:type="dxa" w:w="40"/>
              <w:left w:type="dxa" w:w="180"/>
              <w:bottom w:type="dxa" w:w="40"/>
              <w:right w:type="dxa" w:w="80"/>
            </w:tcMar>
          </w:tcPr>
          <w:p>
            <w:pPr>
              <w:spacing w:before="0" w:after="0"/>
            </w:pPr>
            <w:r>
              <w:rPr>
                <w:rFonts w:ascii="Arial" w:cs="Arial" w:eastAsia="Arial" w:hAnsi="Arial"/>
                <w:color w:val="1E8449"/>
                <w:sz w:val="22"/>
                <w:szCs w:val="22"/>
              </w:rPr>
              <w:t xml:space="preserve">▸</w:t>
            </w:r>
          </w:p>
        </w:tc>
        <w:tc>
          <w:tcPr>
            <w:tcW w:type="dxa" w:w="8960"/>
            <w:tcBorders>
              <w:top w:val="none" w:color="FFFFFF" w:sz="0"/>
              <w:left w:val="none" w:color="FFFFFF" w:sz="0"/>
              <w:bottom w:val="none" w:color="FFFFFF" w:sz="0"/>
              <w:right w:val="none" w:color="FFFFFF" w:sz="0"/>
            </w:tcBorders>
            <w:shd w:fill="EAFAF1"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Implement URLhaus feed client: check URL against abuse.ch API, parse malware tags</w:t>
            </w:r>
          </w:p>
        </w:tc>
      </w:tr>
      <w:tr>
        <w:tc>
          <w:tcPr>
            <w:tcW w:type="dxa" w:w="400"/>
            <w:tcBorders>
              <w:top w:val="none" w:color="FFFFFF" w:sz="0"/>
              <w:left w:val="none" w:color="FFFFFF" w:sz="0"/>
              <w:bottom w:val="none" w:color="FFFFFF" w:sz="0"/>
              <w:right w:val="none" w:color="FFFFFF" w:sz="0"/>
            </w:tcBorders>
            <w:shd w:fill="EAFAF1" w:val="clear"/>
            <w:tcMar>
              <w:top w:type="dxa" w:w="40"/>
              <w:left w:type="dxa" w:w="180"/>
              <w:bottom w:type="dxa" w:w="40"/>
              <w:right w:type="dxa" w:w="80"/>
            </w:tcMar>
          </w:tcPr>
          <w:p>
            <w:pPr>
              <w:spacing w:before="0" w:after="0"/>
            </w:pPr>
            <w:r>
              <w:rPr>
                <w:rFonts w:ascii="Arial" w:cs="Arial" w:eastAsia="Arial" w:hAnsi="Arial"/>
                <w:color w:val="1E8449"/>
                <w:sz w:val="22"/>
                <w:szCs w:val="22"/>
              </w:rPr>
              <w:t xml:space="preserve">▸</w:t>
            </w:r>
          </w:p>
        </w:tc>
        <w:tc>
          <w:tcPr>
            <w:tcW w:type="dxa" w:w="8960"/>
            <w:tcBorders>
              <w:top w:val="none" w:color="FFFFFF" w:sz="0"/>
              <w:left w:val="none" w:color="FFFFFF" w:sz="0"/>
              <w:bottom w:val="none" w:color="FFFFFF" w:sz="0"/>
              <w:right w:val="none" w:color="FFFFFF" w:sz="0"/>
            </w:tcBorders>
            <w:shd w:fill="EAFAF1"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Implement WHOIS client: extract creation_date, compute domain age in days</w:t>
            </w:r>
          </w:p>
        </w:tc>
      </w:tr>
      <w:tr>
        <w:tc>
          <w:tcPr>
            <w:tcW w:type="dxa" w:w="400"/>
            <w:tcBorders>
              <w:top w:val="none" w:color="FFFFFF" w:sz="0"/>
              <w:left w:val="none" w:color="FFFFFF" w:sz="0"/>
              <w:bottom w:val="none" w:color="FFFFFF" w:sz="0"/>
              <w:right w:val="none" w:color="FFFFFF" w:sz="0"/>
            </w:tcBorders>
            <w:shd w:fill="EAFAF1" w:val="clear"/>
            <w:tcMar>
              <w:top w:type="dxa" w:w="40"/>
              <w:left w:type="dxa" w:w="180"/>
              <w:bottom w:type="dxa" w:w="40"/>
              <w:right w:type="dxa" w:w="80"/>
            </w:tcMar>
          </w:tcPr>
          <w:p>
            <w:pPr>
              <w:spacing w:before="0" w:after="0"/>
            </w:pPr>
            <w:r>
              <w:rPr>
                <w:rFonts w:ascii="Arial" w:cs="Arial" w:eastAsia="Arial" w:hAnsi="Arial"/>
                <w:color w:val="1E8449"/>
                <w:sz w:val="22"/>
                <w:szCs w:val="22"/>
              </w:rPr>
              <w:t xml:space="preserve">▸</w:t>
            </w:r>
          </w:p>
        </w:tc>
        <w:tc>
          <w:tcPr>
            <w:tcW w:type="dxa" w:w="8960"/>
            <w:tcBorders>
              <w:top w:val="none" w:color="FFFFFF" w:sz="0"/>
              <w:left w:val="none" w:color="FFFFFF" w:sz="0"/>
              <w:bottom w:val="none" w:color="FFFFFF" w:sz="0"/>
              <w:right w:val="none" w:color="FFFFFF" w:sz="0"/>
            </w:tcBorders>
            <w:shd w:fill="EAFAF1"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Implement Google Safe Browsing v4: batch URL lookup for phishing/malware verdict</w:t>
            </w:r>
          </w:p>
        </w:tc>
      </w:tr>
      <w:tr>
        <w:tc>
          <w:tcPr>
            <w:tcW w:type="dxa" w:w="400"/>
            <w:tcBorders>
              <w:top w:val="none" w:color="FFFFFF" w:sz="0"/>
              <w:left w:val="none" w:color="FFFFFF" w:sz="0"/>
              <w:bottom w:val="none" w:color="FFFFFF" w:sz="0"/>
              <w:right w:val="none" w:color="FFFFFF" w:sz="0"/>
            </w:tcBorders>
            <w:shd w:fill="EAFAF1" w:val="clear"/>
            <w:tcMar>
              <w:top w:type="dxa" w:w="40"/>
              <w:left w:type="dxa" w:w="180"/>
              <w:bottom w:type="dxa" w:w="40"/>
              <w:right w:type="dxa" w:w="80"/>
            </w:tcMar>
          </w:tcPr>
          <w:p>
            <w:pPr>
              <w:spacing w:before="0" w:after="0"/>
            </w:pPr>
            <w:r>
              <w:rPr>
                <w:rFonts w:ascii="Arial" w:cs="Arial" w:eastAsia="Arial" w:hAnsi="Arial"/>
                <w:color w:val="1E8449"/>
                <w:sz w:val="22"/>
                <w:szCs w:val="22"/>
              </w:rPr>
              <w:t xml:space="preserve">▸</w:t>
            </w:r>
          </w:p>
        </w:tc>
        <w:tc>
          <w:tcPr>
            <w:tcW w:type="dxa" w:w="8960"/>
            <w:tcBorders>
              <w:top w:val="none" w:color="FFFFFF" w:sz="0"/>
              <w:left w:val="none" w:color="FFFFFF" w:sz="0"/>
              <w:bottom w:val="none" w:color="FFFFFF" w:sz="0"/>
              <w:right w:val="none" w:color="FFFFFF" w:sz="0"/>
            </w:tcBorders>
            <w:shd w:fill="EAFAF1"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Build HTML report generator (Jinja2): color-coded verdict banner, IOC tables, enrichment badges, YARA panel</w:t>
            </w:r>
          </w:p>
        </w:tc>
      </w:tr>
      <w:tr>
        <w:tc>
          <w:tcPr>
            <w:tcW w:type="dxa" w:w="400"/>
            <w:tcBorders>
              <w:top w:val="none" w:color="FFFFFF" w:sz="0"/>
              <w:left w:val="none" w:color="FFFFFF" w:sz="0"/>
              <w:bottom w:val="none" w:color="FFFFFF" w:sz="0"/>
              <w:right w:val="none" w:color="FFFFFF" w:sz="0"/>
            </w:tcBorders>
            <w:shd w:fill="EAFAF1" w:val="clear"/>
            <w:tcMar>
              <w:top w:type="dxa" w:w="40"/>
              <w:left w:type="dxa" w:w="180"/>
              <w:bottom w:type="dxa" w:w="40"/>
              <w:right w:type="dxa" w:w="80"/>
            </w:tcMar>
          </w:tcPr>
          <w:p>
            <w:pPr>
              <w:spacing w:before="0" w:after="0"/>
            </w:pPr>
            <w:r>
              <w:rPr>
                <w:rFonts w:ascii="Arial" w:cs="Arial" w:eastAsia="Arial" w:hAnsi="Arial"/>
                <w:color w:val="1E8449"/>
                <w:sz w:val="22"/>
                <w:szCs w:val="22"/>
              </w:rPr>
              <w:t xml:space="preserve">▸</w:t>
            </w:r>
          </w:p>
        </w:tc>
        <w:tc>
          <w:tcPr>
            <w:tcW w:type="dxa" w:w="8960"/>
            <w:tcBorders>
              <w:top w:val="none" w:color="FFFFFF" w:sz="0"/>
              <w:left w:val="none" w:color="FFFFFF" w:sz="0"/>
              <w:bottom w:val="none" w:color="FFFFFF" w:sz="0"/>
              <w:right w:val="none" w:color="FFFFFF" w:sz="0"/>
            </w:tcBorders>
            <w:shd w:fill="EAFAF1"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Write integration tests with mocked API responses (pytest-httpx or responses library)</w:t>
            </w:r>
          </w:p>
        </w:tc>
      </w:tr>
      <w:tr>
        <w:tc>
          <w:tcPr>
            <w:tcW w:type="dxa" w:w="9360"/>
            <w:tcBorders>
              <w:top w:val="none" w:color="FFFFFF" w:sz="0"/>
              <w:left w:val="none" w:color="FFFFFF" w:sz="0"/>
              <w:bottom w:val="single" w:color="1E8449" w:sz="3"/>
              <w:right w:val="none" w:color="FFFFFF" w:sz="0"/>
            </w:tcBorders>
            <w:shd w:fill="EAFAF1" w:val="clear"/>
            <w:tcMar>
              <w:top w:type="dxa" w:w="80"/>
              <w:left w:type="dxa" w:w="200"/>
              <w:bottom w:type="dxa" w:w="60"/>
              <w:right w:type="dxa" w:w="160"/>
            </w:tcMar>
          </w:tcPr>
          <w:p>
            <w:pPr>
              <w:spacing w:before="0" w:after="0"/>
            </w:pPr>
            <w:r>
              <w:t xml:space="preserve"/>
            </w:r>
          </w:p>
        </w:tc>
      </w:tr>
    </w:tbl>
    <w:p>
      <w:pPr>
        <w:spacing w:before="160" w:after="0"/>
      </w:pPr>
      <w:r>
        <w:t xml:space="preserve"/>
      </w:r>
    </w:p>
    <w:p>
      <w:pPr>
        <w:pStyle w:val="Heading3"/>
        <w:spacing w:before="240" w:after="80"/>
      </w:pPr>
      <w:r>
        <w:rPr>
          <w:rFonts w:ascii="Arial" w:cs="Arial" w:eastAsia="Arial" w:hAnsi="Arial"/>
          <w:b/>
          <w:bCs/>
          <w:color w:val="0D7377"/>
          <w:sz w:val="24"/>
          <w:szCs w:val="24"/>
        </w:rPr>
        <w:t xml:space="preserve">Enrichment Caching Pattern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1"/>
              <w:left w:val="single" w:color="E8A020" w:sz="16"/>
              <w:bottom w:val="single" w:color="E8A020" w:sz="1"/>
              <w:right w:val="single" w:color="E8A020" w:sz="1"/>
            </w:tcBorders>
            <w:shd w:fill="FEF9EC" w:val="clear"/>
            <w:tcMar>
              <w:top w:type="dxa" w:w="120"/>
              <w:left w:type="dxa" w:w="200"/>
              <w:bottom w:type="dxa" w:w="120"/>
              <w:right w:type="dxa" w:w="160"/>
            </w:tcMar>
          </w:tcPr>
          <w:p>
            <w:pPr>
              <w:spacing w:before="0" w:after="60"/>
            </w:pPr>
            <w:r>
              <w:rPr>
                <w:rFonts w:ascii="Arial" w:cs="Arial" w:eastAsia="Arial" w:hAnsi="Arial"/>
                <w:b/>
                <w:bCs/>
                <w:caps/>
                <w:color w:val="E8A020"/>
                <w:sz w:val="20"/>
                <w:szCs w:val="20"/>
              </w:rPr>
              <w:t xml:space="preserve">Implementation Requirement</w:t>
            </w:r>
          </w:p>
          <w:p>
            <w:pPr>
              <w:spacing w:before="0" w:after="0"/>
            </w:pPr>
            <w:r>
              <w:rPr>
                <w:rFonts w:ascii="Arial" w:cs="Arial" w:eastAsia="Arial" w:hAnsi="Arial"/>
                <w:color w:val="4A5568"/>
                <w:sz w:val="21"/>
                <w:szCs w:val="21"/>
              </w:rPr>
              <w:t xml:space="preserve">Every enrichment API call MUST go through the cache layer. A single phishing email with 20 URLs to the same redirector domain must result in exactly 1 API call per service, not 20. Deduplication happens at the IOCSet level (Phase 1); cache lookup happens at the enricher level. Both are required.</w:t>
            </w:r>
          </w:p>
        </w:tc>
      </w:tr>
    </w:tbl>
    <w:p>
      <w:pPr>
        <w:spacing w:before="120" w:after="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000"/>
        <w:gridCol w:w="2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API</w:t>
            </w:r>
          </w:p>
        </w:tc>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Cache TTL</w:t>
            </w:r>
          </w:p>
        </w:tc>
        <w:tc>
          <w:tcPr>
            <w:tcW w:type="dxa" w:w="3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Rate Limit Strategy</w:t>
            </w:r>
          </w:p>
        </w:tc>
        <w:tc>
          <w:tcPr>
            <w:tcW w:type="dxa" w:w="21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Semaphore Value</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VirusTotal v3</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48 hours</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asyncio.Semaphore(4) per 60s window</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4</w:t>
            </w:r>
          </w:p>
        </w:tc>
      </w:tr>
      <w:tr>
        <w:tc>
          <w:tcPr>
            <w:tcW w:type="dxa" w:w="22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AbuseIPDB v2</w:t>
            </w:r>
          </w:p>
        </w:tc>
        <w:tc>
          <w:tcPr>
            <w:tcW w:type="dxa" w:w="16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24 hours</w:t>
            </w:r>
          </w:p>
        </w:tc>
        <w:tc>
          <w:tcPr>
            <w:tcW w:type="dxa" w:w="3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asyncio.Semaphore(2) per 1s</w:t>
            </w:r>
          </w:p>
        </w:tc>
        <w:tc>
          <w:tcPr>
            <w:tcW w:type="dxa" w:w="21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2</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Shodan</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72 hours</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asyncio.Semaphore(1) per 1s</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1</w:t>
            </w:r>
          </w:p>
        </w:tc>
      </w:tr>
      <w:tr>
        <w:tc>
          <w:tcPr>
            <w:tcW w:type="dxa" w:w="22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urlscan.io</w:t>
            </w:r>
          </w:p>
        </w:tc>
        <w:tc>
          <w:tcPr>
            <w:tcW w:type="dxa" w:w="16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24 hours</w:t>
            </w:r>
          </w:p>
        </w:tc>
        <w:tc>
          <w:tcPr>
            <w:tcW w:type="dxa" w:w="3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asyncio.Semaphore(5)</w:t>
            </w:r>
          </w:p>
        </w:tc>
        <w:tc>
          <w:tcPr>
            <w:tcW w:type="dxa" w:w="21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5</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AlienVault OTX</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24 hours</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asyncio.Semaphore(10)</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10</w:t>
            </w:r>
          </w:p>
        </w:tc>
      </w:tr>
      <w:tr>
        <w:tc>
          <w:tcPr>
            <w:tcW w:type="dxa" w:w="22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URLhaus</w:t>
            </w:r>
          </w:p>
        </w:tc>
        <w:tc>
          <w:tcPr>
            <w:tcW w:type="dxa" w:w="16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6 hours</w:t>
            </w:r>
          </w:p>
        </w:tc>
        <w:tc>
          <w:tcPr>
            <w:tcW w:type="dxa" w:w="3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No limit (bulk API)</w:t>
            </w:r>
          </w:p>
        </w:tc>
        <w:tc>
          <w:tcPr>
            <w:tcW w:type="dxa" w:w="21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Unlimited</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WHOIS</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168 hours (7d)</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asyncio.Semaphore(3)</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3</w:t>
            </w:r>
          </w:p>
        </w:tc>
      </w:tr>
      <w:tr>
        <w:tc>
          <w:tcPr>
            <w:tcW w:type="dxa" w:w="22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Google Safe Browsing</w:t>
            </w:r>
          </w:p>
        </w:tc>
        <w:tc>
          <w:tcPr>
            <w:tcW w:type="dxa" w:w="16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1 hour</w:t>
            </w:r>
          </w:p>
        </w:tc>
        <w:tc>
          <w:tcPr>
            <w:tcW w:type="dxa" w:w="3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Batch all URLs in single request</w:t>
            </w:r>
          </w:p>
        </w:tc>
        <w:tc>
          <w:tcPr>
            <w:tcW w:type="dxa" w:w="21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1</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20" w:sz="6"/>
              <w:left w:val="single" w:color="E8A020" w:sz="6"/>
              <w:bottom w:val="none" w:color="FFFFFF" w:sz="0"/>
              <w:right w:val="none" w:color="FFFFFF" w:sz="0"/>
            </w:tcBorders>
            <w:shd w:fill="E8A020" w:val="clear"/>
            <w:tcMar>
              <w:top w:type="dxa" w:w="120"/>
              <w:left w:type="dxa" w:w="200"/>
              <w:bottom w:type="dxa" w:w="120"/>
              <w:right w:type="dxa" w:w="160"/>
            </w:tcMar>
          </w:tcPr>
          <w:p>
            <w:pPr>
              <w:spacing w:before="0" w:after="60"/>
            </w:pPr>
            <w:r>
              <w:rPr>
                <w:rFonts w:ascii="Arial" w:cs="Arial" w:eastAsia="Arial" w:hAnsi="Arial"/>
                <w:b/>
                <w:bCs/>
                <w:caps/>
                <w:color w:val="FFFFFF"/>
                <w:sz w:val="22"/>
                <w:szCs w:val="22"/>
              </w:rPr>
              <w:t xml:space="preserve">PHASE 4  </w:t>
            </w:r>
            <w:r>
              <w:rPr>
                <w:rFonts w:ascii="Arial" w:cs="Arial" w:eastAsia="Arial" w:hAnsi="Arial"/>
                <w:color w:val="CCDDFF"/>
                <w:sz w:val="20"/>
                <w:szCs w:val="20"/>
              </w:rPr>
              <w:t xml:space="preserve">  Weeks 7–8</w:t>
            </w:r>
          </w:p>
          <w:p>
            <w:pPr>
              <w:spacing w:before="0" w:after="0"/>
            </w:pPr>
            <w:r>
              <w:rPr>
                <w:rFonts w:ascii="Arial" w:cs="Arial" w:eastAsia="Arial" w:hAnsi="Arial"/>
                <w:b/>
                <w:bCs/>
                <w:color w:val="FFFFFF"/>
                <w:sz w:val="28"/>
                <w:szCs w:val="28"/>
              </w:rPr>
              <w:t xml:space="preserve">Risk Scoring Engine &amp; SOC Integrations</w:t>
            </w:r>
          </w:p>
        </w:tc>
      </w:tr>
      <w:tr>
        <w:tc>
          <w:tcPr>
            <w:tcW w:type="dxa" w:w="9360"/>
            <w:tcBorders>
              <w:top w:val="none" w:color="FFFFFF" w:sz="0"/>
              <w:left w:val="none" w:color="FFFFFF" w:sz="0"/>
              <w:bottom w:val="none" w:color="FFFFFF" w:sz="0"/>
              <w:right w:val="none" w:color="FFFFFF" w:sz="0"/>
            </w:tcBorders>
            <w:shd w:fill="FEF9EC" w:val="clear"/>
            <w:tcMar>
              <w:top w:type="dxa" w:w="100"/>
              <w:left w:type="dxa" w:w="200"/>
              <w:bottom w:type="dxa" w:w="80"/>
              <w:right w:type="dxa" w:w="160"/>
            </w:tcMar>
          </w:tcPr>
          <w:p>
            <w:pPr>
              <w:spacing w:before="0" w:after="0"/>
            </w:pPr>
            <w:r>
              <w:rPr>
                <w:rFonts w:ascii="Arial" w:cs="Arial" w:eastAsia="Arial" w:hAnsi="Arial"/>
                <w:b/>
                <w:bCs/>
                <w:color w:val="E8A020"/>
                <w:sz w:val="21"/>
                <w:szCs w:val="21"/>
              </w:rPr>
              <w:t xml:space="preserve">Objective: </w:t>
            </w:r>
            <w:r>
              <w:rPr>
                <w:rFonts w:ascii="Arial" w:cs="Arial" w:eastAsia="Arial" w:hAnsi="Arial"/>
                <w:color w:val="4A5568"/>
                <w:sz w:val="21"/>
                <w:szCs w:val="21"/>
              </w:rPr>
              <w:t xml:space="preserve">Build the weighted signal scoring engine and all SOC integration outputs. End state: lure analyze produces a verdict with full signal breakdown, automatically creates a TheHive case with observables, and optionally submits confirmed phishing to MISP.</w:t>
            </w:r>
          </w:p>
        </w:tc>
      </w:tr>
      <w:tr>
        <w:tc>
          <w:tcPr>
            <w:tcW w:type="dxa" w:w="400"/>
            <w:tcBorders>
              <w:top w:val="none" w:color="FFFFFF" w:sz="0"/>
              <w:left w:val="none" w:color="FFFFFF" w:sz="0"/>
              <w:bottom w:val="none" w:color="FFFFFF" w:sz="0"/>
              <w:right w:val="none" w:color="FFFFFF" w:sz="0"/>
            </w:tcBorders>
            <w:shd w:fill="FEF9EC" w:val="clear"/>
            <w:tcMar>
              <w:top w:type="dxa" w:w="40"/>
              <w:left w:type="dxa" w:w="180"/>
              <w:bottom w:type="dxa" w:w="40"/>
              <w:right w:type="dxa" w:w="80"/>
            </w:tcMar>
          </w:tcPr>
          <w:p>
            <w:pPr>
              <w:spacing w:before="0" w:after="0"/>
            </w:pPr>
            <w:r>
              <w:rPr>
                <w:rFonts w:ascii="Arial" w:cs="Arial" w:eastAsia="Arial" w:hAnsi="Arial"/>
                <w:color w:val="E8A020"/>
                <w:sz w:val="22"/>
                <w:szCs w:val="22"/>
              </w:rPr>
              <w:t xml:space="preserve">▸</w:t>
            </w:r>
          </w:p>
        </w:tc>
        <w:tc>
          <w:tcPr>
            <w:tcW w:type="dxa" w:w="8960"/>
            <w:tcBorders>
              <w:top w:val="none" w:color="FFFFFF" w:sz="0"/>
              <w:left w:val="none" w:color="FFFFFF" w:sz="0"/>
              <w:bottom w:val="none" w:color="FFFFFF" w:sz="0"/>
              <w:right w:val="none" w:color="FFFFFF" w:sz="0"/>
            </w:tcBorders>
            <w:shd w:fill="FEF9EC"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Implement weighted signal scoring engine (scorer.py): evaluate each signal against findings, sum weights, map to verdict</w:t>
            </w:r>
          </w:p>
        </w:tc>
      </w:tr>
      <w:tr>
        <w:tc>
          <w:tcPr>
            <w:tcW w:type="dxa" w:w="400"/>
            <w:tcBorders>
              <w:top w:val="none" w:color="FFFFFF" w:sz="0"/>
              <w:left w:val="none" w:color="FFFFFF" w:sz="0"/>
              <w:bottom w:val="none" w:color="FFFFFF" w:sz="0"/>
              <w:right w:val="none" w:color="FFFFFF" w:sz="0"/>
            </w:tcBorders>
            <w:shd w:fill="FEF9EC" w:val="clear"/>
            <w:tcMar>
              <w:top w:type="dxa" w:w="40"/>
              <w:left w:type="dxa" w:w="180"/>
              <w:bottom w:type="dxa" w:w="40"/>
              <w:right w:type="dxa" w:w="80"/>
            </w:tcMar>
          </w:tcPr>
          <w:p>
            <w:pPr>
              <w:spacing w:before="0" w:after="0"/>
            </w:pPr>
            <w:r>
              <w:rPr>
                <w:rFonts w:ascii="Arial" w:cs="Arial" w:eastAsia="Arial" w:hAnsi="Arial"/>
                <w:color w:val="E8A020"/>
                <w:sz w:val="22"/>
                <w:szCs w:val="22"/>
              </w:rPr>
              <w:t xml:space="preserve">▸</w:t>
            </w:r>
          </w:p>
        </w:tc>
        <w:tc>
          <w:tcPr>
            <w:tcW w:type="dxa" w:w="8960"/>
            <w:tcBorders>
              <w:top w:val="none" w:color="FFFFFF" w:sz="0"/>
              <w:left w:val="none" w:color="FFFFFF" w:sz="0"/>
              <w:bottom w:val="none" w:color="FFFFFF" w:sz="0"/>
              <w:right w:val="none" w:color="FFFFFF" w:sz="0"/>
            </w:tcBorders>
            <w:shd w:fill="FEF9EC"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Implement all 17 signals: DMARC fail, YARA match, VT malicious, urlscan credential form, AbuseIPDB, SPF fail, Reply-To mismatch, homograph, DKIM fail, domain age, VT suspicious, OTX pulse, AbuseIPDB moderate, phishing keywords, URL shortener, suspicious TLD, no DMARC record</w:t>
            </w:r>
          </w:p>
        </w:tc>
      </w:tr>
      <w:tr>
        <w:tc>
          <w:tcPr>
            <w:tcW w:type="dxa" w:w="400"/>
            <w:tcBorders>
              <w:top w:val="none" w:color="FFFFFF" w:sz="0"/>
              <w:left w:val="none" w:color="FFFFFF" w:sz="0"/>
              <w:bottom w:val="none" w:color="FFFFFF" w:sz="0"/>
              <w:right w:val="none" w:color="FFFFFF" w:sz="0"/>
            </w:tcBorders>
            <w:shd w:fill="FEF9EC" w:val="clear"/>
            <w:tcMar>
              <w:top w:type="dxa" w:w="40"/>
              <w:left w:type="dxa" w:w="180"/>
              <w:bottom w:type="dxa" w:w="40"/>
              <w:right w:type="dxa" w:w="80"/>
            </w:tcMar>
          </w:tcPr>
          <w:p>
            <w:pPr>
              <w:spacing w:before="0" w:after="0"/>
            </w:pPr>
            <w:r>
              <w:rPr>
                <w:rFonts w:ascii="Arial" w:cs="Arial" w:eastAsia="Arial" w:hAnsi="Arial"/>
                <w:color w:val="E8A020"/>
                <w:sz w:val="22"/>
                <w:szCs w:val="22"/>
              </w:rPr>
              <w:t xml:space="preserve">▸</w:t>
            </w:r>
          </w:p>
        </w:tc>
        <w:tc>
          <w:tcPr>
            <w:tcW w:type="dxa" w:w="8960"/>
            <w:tcBorders>
              <w:top w:val="none" w:color="FFFFFF" w:sz="0"/>
              <w:left w:val="none" w:color="FFFFFF" w:sz="0"/>
              <w:bottom w:val="none" w:color="FFFFFF" w:sz="0"/>
              <w:right w:val="none" w:color="FFFFFF" w:sz="0"/>
            </w:tcBorders>
            <w:shd w:fill="FEF9EC"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Make signal weights configurable via lure/config/scoring.yaml — analysts can tune weights for their environment</w:t>
            </w:r>
          </w:p>
        </w:tc>
      </w:tr>
      <w:tr>
        <w:tc>
          <w:tcPr>
            <w:tcW w:type="dxa" w:w="400"/>
            <w:tcBorders>
              <w:top w:val="none" w:color="FFFFFF" w:sz="0"/>
              <w:left w:val="none" w:color="FFFFFF" w:sz="0"/>
              <w:bottom w:val="none" w:color="FFFFFF" w:sz="0"/>
              <w:right w:val="none" w:color="FFFFFF" w:sz="0"/>
            </w:tcBorders>
            <w:shd w:fill="FEF9EC" w:val="clear"/>
            <w:tcMar>
              <w:top w:type="dxa" w:w="40"/>
              <w:left w:type="dxa" w:w="180"/>
              <w:bottom w:type="dxa" w:w="40"/>
              <w:right w:type="dxa" w:w="80"/>
            </w:tcMar>
          </w:tcPr>
          <w:p>
            <w:pPr>
              <w:spacing w:before="0" w:after="0"/>
            </w:pPr>
            <w:r>
              <w:rPr>
                <w:rFonts w:ascii="Arial" w:cs="Arial" w:eastAsia="Arial" w:hAnsi="Arial"/>
                <w:color w:val="E8A020"/>
                <w:sz w:val="22"/>
                <w:szCs w:val="22"/>
              </w:rPr>
              <w:t xml:space="preserve">▸</w:t>
            </w:r>
          </w:p>
        </w:tc>
        <w:tc>
          <w:tcPr>
            <w:tcW w:type="dxa" w:w="8960"/>
            <w:tcBorders>
              <w:top w:val="none" w:color="FFFFFF" w:sz="0"/>
              <w:left w:val="none" w:color="FFFFFF" w:sz="0"/>
              <w:bottom w:val="none" w:color="FFFFFF" w:sz="0"/>
              <w:right w:val="none" w:color="FFFFFF" w:sz="0"/>
            </w:tcBorders>
            <w:shd w:fill="FEF9EC"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Implement TheHive integration: create Case, add Observable for each IOC type, trigger Cortex Analyzers</w:t>
            </w:r>
          </w:p>
        </w:tc>
      </w:tr>
      <w:tr>
        <w:tc>
          <w:tcPr>
            <w:tcW w:type="dxa" w:w="400"/>
            <w:tcBorders>
              <w:top w:val="none" w:color="FFFFFF" w:sz="0"/>
              <w:left w:val="none" w:color="FFFFFF" w:sz="0"/>
              <w:bottom w:val="none" w:color="FFFFFF" w:sz="0"/>
              <w:right w:val="none" w:color="FFFFFF" w:sz="0"/>
            </w:tcBorders>
            <w:shd w:fill="FEF9EC" w:val="clear"/>
            <w:tcMar>
              <w:top w:type="dxa" w:w="40"/>
              <w:left w:type="dxa" w:w="180"/>
              <w:bottom w:type="dxa" w:w="40"/>
              <w:right w:type="dxa" w:w="80"/>
            </w:tcMar>
          </w:tcPr>
          <w:p>
            <w:pPr>
              <w:spacing w:before="0" w:after="0"/>
            </w:pPr>
            <w:r>
              <w:rPr>
                <w:rFonts w:ascii="Arial" w:cs="Arial" w:eastAsia="Arial" w:hAnsi="Arial"/>
                <w:color w:val="E8A020"/>
                <w:sz w:val="22"/>
                <w:szCs w:val="22"/>
              </w:rPr>
              <w:t xml:space="preserve">▸</w:t>
            </w:r>
          </w:p>
        </w:tc>
        <w:tc>
          <w:tcPr>
            <w:tcW w:type="dxa" w:w="8960"/>
            <w:tcBorders>
              <w:top w:val="none" w:color="FFFFFF" w:sz="0"/>
              <w:left w:val="none" w:color="FFFFFF" w:sz="0"/>
              <w:bottom w:val="none" w:color="FFFFFF" w:sz="0"/>
              <w:right w:val="none" w:color="FFFFFF" w:sz="0"/>
            </w:tcBorders>
            <w:shd w:fill="FEF9EC"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Implement MISP integration: create Event, add Attributes (ip-dst, domain, url, md5, sha256, email), tag with "phishing"</w:t>
            </w:r>
          </w:p>
        </w:tc>
      </w:tr>
      <w:tr>
        <w:tc>
          <w:tcPr>
            <w:tcW w:type="dxa" w:w="400"/>
            <w:tcBorders>
              <w:top w:val="none" w:color="FFFFFF" w:sz="0"/>
              <w:left w:val="none" w:color="FFFFFF" w:sz="0"/>
              <w:bottom w:val="none" w:color="FFFFFF" w:sz="0"/>
              <w:right w:val="none" w:color="FFFFFF" w:sz="0"/>
            </w:tcBorders>
            <w:shd w:fill="FEF9EC" w:val="clear"/>
            <w:tcMar>
              <w:top w:type="dxa" w:w="40"/>
              <w:left w:type="dxa" w:w="180"/>
              <w:bottom w:type="dxa" w:w="40"/>
              <w:right w:type="dxa" w:w="80"/>
            </w:tcMar>
          </w:tcPr>
          <w:p>
            <w:pPr>
              <w:spacing w:before="0" w:after="0"/>
            </w:pPr>
            <w:r>
              <w:rPr>
                <w:rFonts w:ascii="Arial" w:cs="Arial" w:eastAsia="Arial" w:hAnsi="Arial"/>
                <w:color w:val="E8A020"/>
                <w:sz w:val="22"/>
                <w:szCs w:val="22"/>
              </w:rPr>
              <w:t xml:space="preserve">▸</w:t>
            </w:r>
          </w:p>
        </w:tc>
        <w:tc>
          <w:tcPr>
            <w:tcW w:type="dxa" w:w="8960"/>
            <w:tcBorders>
              <w:top w:val="none" w:color="FFFFFF" w:sz="0"/>
              <w:left w:val="none" w:color="FFFFFF" w:sz="0"/>
              <w:bottom w:val="none" w:color="FFFFFF" w:sz="0"/>
              <w:right w:val="none" w:color="FFFFFF" w:sz="0"/>
            </w:tcBorders>
            <w:shd w:fill="FEF9EC"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Build STIX 2.1 bundle builder: map IOCs to Indicator/Observable objects, produce valid STIX bundle JSON</w:t>
            </w:r>
          </w:p>
        </w:tc>
      </w:tr>
      <w:tr>
        <w:tc>
          <w:tcPr>
            <w:tcW w:type="dxa" w:w="400"/>
            <w:tcBorders>
              <w:top w:val="none" w:color="FFFFFF" w:sz="0"/>
              <w:left w:val="none" w:color="FFFFFF" w:sz="0"/>
              <w:bottom w:val="none" w:color="FFFFFF" w:sz="0"/>
              <w:right w:val="none" w:color="FFFFFF" w:sz="0"/>
            </w:tcBorders>
            <w:shd w:fill="FEF9EC" w:val="clear"/>
            <w:tcMar>
              <w:top w:type="dxa" w:w="40"/>
              <w:left w:type="dxa" w:w="180"/>
              <w:bottom w:type="dxa" w:w="40"/>
              <w:right w:type="dxa" w:w="80"/>
            </w:tcMar>
          </w:tcPr>
          <w:p>
            <w:pPr>
              <w:spacing w:before="0" w:after="0"/>
            </w:pPr>
            <w:r>
              <w:rPr>
                <w:rFonts w:ascii="Arial" w:cs="Arial" w:eastAsia="Arial" w:hAnsi="Arial"/>
                <w:color w:val="E8A020"/>
                <w:sz w:val="22"/>
                <w:szCs w:val="22"/>
              </w:rPr>
              <w:t xml:space="preserve">▸</w:t>
            </w:r>
          </w:p>
        </w:tc>
        <w:tc>
          <w:tcPr>
            <w:tcW w:type="dxa" w:w="8960"/>
            <w:tcBorders>
              <w:top w:val="none" w:color="FFFFFF" w:sz="0"/>
              <w:left w:val="none" w:color="FFFFFF" w:sz="0"/>
              <w:bottom w:val="none" w:color="FFFFFF" w:sz="0"/>
              <w:right w:val="none" w:color="FFFFFF" w:sz="0"/>
            </w:tcBorders>
            <w:shd w:fill="FEF9EC"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Implement campaign correlation: Jaccard similarity across all analyzed emails in SQLite, group by &gt;0.7 threshold</w:t>
            </w:r>
          </w:p>
        </w:tc>
      </w:tr>
      <w:tr>
        <w:tc>
          <w:tcPr>
            <w:tcW w:type="dxa" w:w="400"/>
            <w:tcBorders>
              <w:top w:val="none" w:color="FFFFFF" w:sz="0"/>
              <w:left w:val="none" w:color="FFFFFF" w:sz="0"/>
              <w:bottom w:val="none" w:color="FFFFFF" w:sz="0"/>
              <w:right w:val="none" w:color="FFFFFF" w:sz="0"/>
            </w:tcBorders>
            <w:shd w:fill="FEF9EC" w:val="clear"/>
            <w:tcMar>
              <w:top w:type="dxa" w:w="40"/>
              <w:left w:type="dxa" w:w="180"/>
              <w:bottom w:type="dxa" w:w="40"/>
              <w:right w:type="dxa" w:w="80"/>
            </w:tcMar>
          </w:tcPr>
          <w:p>
            <w:pPr>
              <w:spacing w:before="0" w:after="0"/>
            </w:pPr>
            <w:r>
              <w:rPr>
                <w:rFonts w:ascii="Arial" w:cs="Arial" w:eastAsia="Arial" w:hAnsi="Arial"/>
                <w:color w:val="E8A020"/>
                <w:sz w:val="22"/>
                <w:szCs w:val="22"/>
              </w:rPr>
              <w:t xml:space="preserve">▸</w:t>
            </w:r>
          </w:p>
        </w:tc>
        <w:tc>
          <w:tcPr>
            <w:tcW w:type="dxa" w:w="8960"/>
            <w:tcBorders>
              <w:top w:val="none" w:color="FFFFFF" w:sz="0"/>
              <w:left w:val="none" w:color="FFFFFF" w:sz="0"/>
              <w:bottom w:val="none" w:color="FFFFFF" w:sz="0"/>
              <w:right w:val="none" w:color="FFFFFF" w:sz="0"/>
            </w:tcBorders>
            <w:shd w:fill="FEF9EC"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Build lure batch command: analyze directory of .eml files, produce campaign report</w:t>
            </w:r>
          </w:p>
        </w:tc>
      </w:tr>
      <w:tr>
        <w:tc>
          <w:tcPr>
            <w:tcW w:type="dxa" w:w="400"/>
            <w:tcBorders>
              <w:top w:val="none" w:color="FFFFFF" w:sz="0"/>
              <w:left w:val="none" w:color="FFFFFF" w:sz="0"/>
              <w:bottom w:val="none" w:color="FFFFFF" w:sz="0"/>
              <w:right w:val="none" w:color="FFFFFF" w:sz="0"/>
            </w:tcBorders>
            <w:shd w:fill="FEF9EC" w:val="clear"/>
            <w:tcMar>
              <w:top w:type="dxa" w:w="40"/>
              <w:left w:type="dxa" w:w="180"/>
              <w:bottom w:type="dxa" w:w="40"/>
              <w:right w:type="dxa" w:w="80"/>
            </w:tcMar>
          </w:tcPr>
          <w:p>
            <w:pPr>
              <w:spacing w:before="0" w:after="0"/>
            </w:pPr>
            <w:r>
              <w:rPr>
                <w:rFonts w:ascii="Arial" w:cs="Arial" w:eastAsia="Arial" w:hAnsi="Arial"/>
                <w:color w:val="E8A020"/>
                <w:sz w:val="22"/>
                <w:szCs w:val="22"/>
              </w:rPr>
              <w:t xml:space="preserve">▸</w:t>
            </w:r>
          </w:p>
        </w:tc>
        <w:tc>
          <w:tcPr>
            <w:tcW w:type="dxa" w:w="8960"/>
            <w:tcBorders>
              <w:top w:val="none" w:color="FFFFFF" w:sz="0"/>
              <w:left w:val="none" w:color="FFFFFF" w:sz="0"/>
              <w:bottom w:val="none" w:color="FFFFFF" w:sz="0"/>
              <w:right w:val="none" w:color="FFFFFF" w:sz="0"/>
            </w:tcBorders>
            <w:shd w:fill="FEF9EC"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Implement PDF export of HTML report via weasyprint</w:t>
            </w:r>
          </w:p>
        </w:tc>
      </w:tr>
      <w:tr>
        <w:tc>
          <w:tcPr>
            <w:tcW w:type="dxa" w:w="400"/>
            <w:tcBorders>
              <w:top w:val="none" w:color="FFFFFF" w:sz="0"/>
              <w:left w:val="none" w:color="FFFFFF" w:sz="0"/>
              <w:bottom w:val="none" w:color="FFFFFF" w:sz="0"/>
              <w:right w:val="none" w:color="FFFFFF" w:sz="0"/>
            </w:tcBorders>
            <w:shd w:fill="FEF9EC" w:val="clear"/>
            <w:tcMar>
              <w:top w:type="dxa" w:w="40"/>
              <w:left w:type="dxa" w:w="180"/>
              <w:bottom w:type="dxa" w:w="40"/>
              <w:right w:type="dxa" w:w="80"/>
            </w:tcMar>
          </w:tcPr>
          <w:p>
            <w:pPr>
              <w:spacing w:before="0" w:after="0"/>
            </w:pPr>
            <w:r>
              <w:rPr>
                <w:rFonts w:ascii="Arial" w:cs="Arial" w:eastAsia="Arial" w:hAnsi="Arial"/>
                <w:color w:val="E8A020"/>
                <w:sz w:val="22"/>
                <w:szCs w:val="22"/>
              </w:rPr>
              <w:t xml:space="preserve">▸</w:t>
            </w:r>
          </w:p>
        </w:tc>
        <w:tc>
          <w:tcPr>
            <w:tcW w:type="dxa" w:w="8960"/>
            <w:tcBorders>
              <w:top w:val="none" w:color="FFFFFF" w:sz="0"/>
              <w:left w:val="none" w:color="FFFFFF" w:sz="0"/>
              <w:bottom w:val="none" w:color="FFFFFF" w:sz="0"/>
              <w:right w:val="none" w:color="FFFFFF" w:sz="0"/>
            </w:tcBorders>
            <w:shd w:fill="FEF9EC"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Write end-to-end integration tests with real (safe) phishing samples from PhishTank/OpenPhish</w:t>
            </w:r>
          </w:p>
        </w:tc>
      </w:tr>
      <w:tr>
        <w:tc>
          <w:tcPr>
            <w:tcW w:type="dxa" w:w="9360"/>
            <w:tcBorders>
              <w:top w:val="none" w:color="FFFFFF" w:sz="0"/>
              <w:left w:val="none" w:color="FFFFFF" w:sz="0"/>
              <w:bottom w:val="single" w:color="E8A020" w:sz="3"/>
              <w:right w:val="none" w:color="FFFFFF" w:sz="0"/>
            </w:tcBorders>
            <w:shd w:fill="FEF9EC" w:val="clear"/>
            <w:tcMar>
              <w:top w:type="dxa" w:w="80"/>
              <w:left w:type="dxa" w:w="200"/>
              <w:bottom w:type="dxa" w:w="60"/>
              <w:right w:type="dxa" w:w="160"/>
            </w:tcMar>
          </w:tcPr>
          <w:p>
            <w:pPr>
              <w:spacing w:before="0" w:after="0"/>
            </w:pPr>
            <w:r>
              <w:t xml:space="preserve"/>
            </w:r>
          </w:p>
        </w:tc>
      </w:tr>
    </w:tbl>
    <w:p>
      <w:pPr>
        <w:spacing w:before="160" w:after="0"/>
      </w:pPr>
      <w:r>
        <w:t xml:space="preserve"/>
      </w:r>
    </w:p>
    <w:p>
      <w:pPr>
        <w:pStyle w:val="Heading3"/>
        <w:spacing w:before="240" w:after="80"/>
      </w:pPr>
      <w:r>
        <w:rPr>
          <w:rFonts w:ascii="Arial" w:cs="Arial" w:eastAsia="Arial" w:hAnsi="Arial"/>
          <w:b/>
          <w:bCs/>
          <w:color w:val="0D7377"/>
          <w:sz w:val="24"/>
          <w:szCs w:val="24"/>
        </w:rPr>
        <w:t xml:space="preserve">Signal Weight Table</w:t>
      </w:r>
    </w:p>
    <w:p>
      <w:pPr>
        <w:spacing w:before="80" w:after="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3000"/>
        <w:gridCol w:w="1360"/>
      </w:tblGrid>
      <w:tr>
        <w:trPr>
          <w:tblHeader/>
        </w:trPr>
        <w:tc>
          <w:tcPr>
            <w:tcW w:type="dxa" w:w="3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Signal</w:t>
            </w:r>
          </w:p>
        </w:tc>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Default Weight</w:t>
            </w:r>
          </w:p>
        </w:tc>
        <w:tc>
          <w:tcPr>
            <w:tcW w:type="dxa" w:w="3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Trigger Condition</w:t>
            </w:r>
          </w:p>
        </w:tc>
        <w:tc>
          <w:tcPr>
            <w:tcW w:type="dxa" w:w="13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Configurable?</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YARA match on attachment</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4.0</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Any YARA rule fires on any MIME part</w:t>
            </w:r>
          </w:p>
        </w:tc>
        <w:tc>
          <w:tcPr>
            <w:tcW w:type="dxa" w:w="1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Yes</w:t>
            </w:r>
          </w:p>
        </w:tc>
      </w:tr>
      <w:tr>
        <w:tc>
          <w:tcPr>
            <w:tcW w:type="dxa" w:w="3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VT URL: any engine malicious</w:t>
            </w:r>
          </w:p>
        </w:tc>
        <w:tc>
          <w:tcPr>
            <w:tcW w:type="dxa" w:w="16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3.0</w:t>
            </w:r>
          </w:p>
        </w:tc>
        <w:tc>
          <w:tcPr>
            <w:tcW w:type="dxa" w:w="3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last_analysis_stats.malicious &gt; 0</w:t>
            </w:r>
          </w:p>
        </w:tc>
        <w:tc>
          <w:tcPr>
            <w:tcW w:type="dxa" w:w="13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Yes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DMARC fail</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2.5</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checkdmarc returns dmarc=fail</w:t>
            </w:r>
          </w:p>
        </w:tc>
        <w:tc>
          <w:tcPr>
            <w:tcW w:type="dxa" w:w="1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Yes</w:t>
            </w:r>
          </w:p>
        </w:tc>
      </w:tr>
      <w:tr>
        <w:tc>
          <w:tcPr>
            <w:tcW w:type="dxa" w:w="3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urlscan credential harvesting</w:t>
            </w:r>
          </w:p>
        </w:tc>
        <w:tc>
          <w:tcPr>
            <w:tcW w:type="dxa" w:w="16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2.5</w:t>
            </w:r>
          </w:p>
        </w:tc>
        <w:tc>
          <w:tcPr>
            <w:tcW w:type="dxa" w:w="3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Password field on non-org domain detected</w:t>
            </w:r>
          </w:p>
        </w:tc>
        <w:tc>
          <w:tcPr>
            <w:tcW w:type="dxa" w:w="13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Yes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AbuseIPDB score &gt; 75</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2.5</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abuseConfidenceScore &gt; 75</w:t>
            </w:r>
          </w:p>
        </w:tc>
        <w:tc>
          <w:tcPr>
            <w:tcW w:type="dxa" w:w="1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Yes</w:t>
            </w:r>
          </w:p>
        </w:tc>
      </w:tr>
      <w:tr>
        <w:tc>
          <w:tcPr>
            <w:tcW w:type="dxa" w:w="3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SPF fail</w:t>
            </w:r>
          </w:p>
        </w:tc>
        <w:tc>
          <w:tcPr>
            <w:tcW w:type="dxa" w:w="16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2.0</w:t>
            </w:r>
          </w:p>
        </w:tc>
        <w:tc>
          <w:tcPr>
            <w:tcW w:type="dxa" w:w="3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pyspf returns fail or hardfail</w:t>
            </w:r>
          </w:p>
        </w:tc>
        <w:tc>
          <w:tcPr>
            <w:tcW w:type="dxa" w:w="13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Yes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Reply-To mismatch</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2.0</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From domain ≠ Reply-To domain</w:t>
            </w:r>
          </w:p>
        </w:tc>
        <w:tc>
          <w:tcPr>
            <w:tcW w:type="dxa" w:w="1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Yes</w:t>
            </w:r>
          </w:p>
        </w:tc>
      </w:tr>
      <w:tr>
        <w:tc>
          <w:tcPr>
            <w:tcW w:type="dxa" w:w="3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Homograph domain</w:t>
            </w:r>
          </w:p>
        </w:tc>
        <w:tc>
          <w:tcPr>
            <w:tcW w:type="dxa" w:w="16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2.0</w:t>
            </w:r>
          </w:p>
        </w:tc>
        <w:tc>
          <w:tcPr>
            <w:tcW w:type="dxa" w:w="3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Mixed Unicode scripts in domain name</w:t>
            </w:r>
          </w:p>
        </w:tc>
        <w:tc>
          <w:tcPr>
            <w:tcW w:type="dxa" w:w="13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Yes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DKIM fail</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1.5</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dkimpy verification returns False</w:t>
            </w:r>
          </w:p>
        </w:tc>
        <w:tc>
          <w:tcPr>
            <w:tcW w:type="dxa" w:w="1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Yes</w:t>
            </w:r>
          </w:p>
        </w:tc>
      </w:tr>
      <w:tr>
        <w:tc>
          <w:tcPr>
            <w:tcW w:type="dxa" w:w="3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Domain age &lt; 7 days</w:t>
            </w:r>
          </w:p>
        </w:tc>
        <w:tc>
          <w:tcPr>
            <w:tcW w:type="dxa" w:w="16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1.5</w:t>
            </w:r>
          </w:p>
        </w:tc>
        <w:tc>
          <w:tcPr>
            <w:tcW w:type="dxa" w:w="3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WHOIS creation_date &lt; 7 days ago</w:t>
            </w:r>
          </w:p>
        </w:tc>
        <w:tc>
          <w:tcPr>
            <w:tcW w:type="dxa" w:w="13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Yes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VT URL: suspicious</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1.0</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last_analysis_stats.suspicious &gt; 2</w:t>
            </w:r>
          </w:p>
        </w:tc>
        <w:tc>
          <w:tcPr>
            <w:tcW w:type="dxa" w:w="1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Yes</w:t>
            </w:r>
          </w:p>
        </w:tc>
      </w:tr>
      <w:tr>
        <w:tc>
          <w:tcPr>
            <w:tcW w:type="dxa" w:w="3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OTX pulse match</w:t>
            </w:r>
          </w:p>
        </w:tc>
        <w:tc>
          <w:tcPr>
            <w:tcW w:type="dxa" w:w="16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1.0</w:t>
            </w:r>
          </w:p>
        </w:tc>
        <w:tc>
          <w:tcPr>
            <w:tcW w:type="dxa" w:w="3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Any OTX pulse returned for IOC</w:t>
            </w:r>
          </w:p>
        </w:tc>
        <w:tc>
          <w:tcPr>
            <w:tcW w:type="dxa" w:w="13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Yes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AbuseIPDB score 25–75</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0.8</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abuseConfidenceScore between 25 and 75</w:t>
            </w:r>
          </w:p>
        </w:tc>
        <w:tc>
          <w:tcPr>
            <w:tcW w:type="dxa" w:w="1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Yes</w:t>
            </w:r>
          </w:p>
        </w:tc>
      </w:tr>
      <w:tr>
        <w:tc>
          <w:tcPr>
            <w:tcW w:type="dxa" w:w="3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Phishing keyword in subject</w:t>
            </w:r>
          </w:p>
        </w:tc>
        <w:tc>
          <w:tcPr>
            <w:tcW w:type="dxa" w:w="16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0.5</w:t>
            </w:r>
          </w:p>
        </w:tc>
        <w:tc>
          <w:tcPr>
            <w:tcW w:type="dxa" w:w="3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Regex match on keyword list</w:t>
            </w:r>
          </w:p>
        </w:tc>
        <w:tc>
          <w:tcPr>
            <w:tcW w:type="dxa" w:w="13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Yes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URL shortener in body</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0.5</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Known shortener domain in URL list</w:t>
            </w:r>
          </w:p>
        </w:tc>
        <w:tc>
          <w:tcPr>
            <w:tcW w:type="dxa" w:w="1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Yes</w:t>
            </w:r>
          </w:p>
        </w:tc>
      </w:tr>
      <w:tr>
        <w:tc>
          <w:tcPr>
            <w:tcW w:type="dxa" w:w="3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Suspicious TLD</w:t>
            </w:r>
          </w:p>
        </w:tc>
        <w:tc>
          <w:tcPr>
            <w:tcW w:type="dxa" w:w="16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0.3</w:t>
            </w:r>
          </w:p>
        </w:tc>
        <w:tc>
          <w:tcPr>
            <w:tcW w:type="dxa" w:w="3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TLD in .xyz .top .click .loan .work list</w:t>
            </w:r>
          </w:p>
        </w:tc>
        <w:tc>
          <w:tcPr>
            <w:tcW w:type="dxa" w:w="13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Yes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No DMARC record</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0.3</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checkdmarc returns no DMARC record found</w:t>
            </w:r>
          </w:p>
        </w:tc>
        <w:tc>
          <w:tcPr>
            <w:tcW w:type="dxa" w:w="1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Yes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D8B" w:sz="6"/>
              <w:left w:val="single" w:color="7B2D8B" w:sz="6"/>
              <w:bottom w:val="none" w:color="FFFFFF" w:sz="0"/>
              <w:right w:val="none" w:color="FFFFFF" w:sz="0"/>
            </w:tcBorders>
            <w:shd w:fill="7B2D8B" w:val="clear"/>
            <w:tcMar>
              <w:top w:type="dxa" w:w="120"/>
              <w:left w:type="dxa" w:w="200"/>
              <w:bottom w:type="dxa" w:w="120"/>
              <w:right w:type="dxa" w:w="160"/>
            </w:tcMar>
          </w:tcPr>
          <w:p>
            <w:pPr>
              <w:spacing w:before="0" w:after="60"/>
            </w:pPr>
            <w:r>
              <w:rPr>
                <w:rFonts w:ascii="Arial" w:cs="Arial" w:eastAsia="Arial" w:hAnsi="Arial"/>
                <w:b/>
                <w:bCs/>
                <w:caps/>
                <w:color w:val="FFFFFF"/>
                <w:sz w:val="22"/>
                <w:szCs w:val="22"/>
              </w:rPr>
              <w:t xml:space="preserve">PHASE 5  </w:t>
            </w:r>
            <w:r>
              <w:rPr>
                <w:rFonts w:ascii="Arial" w:cs="Arial" w:eastAsia="Arial" w:hAnsi="Arial"/>
                <w:color w:val="CCDDFF"/>
                <w:sz w:val="20"/>
                <w:szCs w:val="20"/>
              </w:rPr>
              <w:t xml:space="preserve">  Weeks 9–10</w:t>
            </w:r>
          </w:p>
          <w:p>
            <w:pPr>
              <w:spacing w:before="0" w:after="0"/>
            </w:pPr>
            <w:r>
              <w:rPr>
                <w:rFonts w:ascii="Arial" w:cs="Arial" w:eastAsia="Arial" w:hAnsi="Arial"/>
                <w:b/>
                <w:bCs/>
                <w:color w:val="FFFFFF"/>
                <w:sz w:val="28"/>
                <w:szCs w:val="28"/>
              </w:rPr>
              <w:t xml:space="preserve">LLM Analysis Layer, MCP Server &amp; Release</w:t>
            </w:r>
          </w:p>
        </w:tc>
      </w:tr>
      <w:tr>
        <w:tc>
          <w:tcPr>
            <w:tcW w:type="dxa" w:w="9360"/>
            <w:tcBorders>
              <w:top w:val="none" w:color="FFFFFF" w:sz="0"/>
              <w:left w:val="none" w:color="FFFFFF" w:sz="0"/>
              <w:bottom w:val="none" w:color="FFFFFF" w:sz="0"/>
              <w:right w:val="none" w:color="FFFFFF" w:sz="0"/>
            </w:tcBorders>
            <w:shd w:fill="F5EEF8" w:val="clear"/>
            <w:tcMar>
              <w:top w:type="dxa" w:w="100"/>
              <w:left w:type="dxa" w:w="200"/>
              <w:bottom w:type="dxa" w:w="80"/>
              <w:right w:type="dxa" w:w="160"/>
            </w:tcMar>
          </w:tcPr>
          <w:p>
            <w:pPr>
              <w:spacing w:before="0" w:after="0"/>
            </w:pPr>
            <w:r>
              <w:rPr>
                <w:rFonts w:ascii="Arial" w:cs="Arial" w:eastAsia="Arial" w:hAnsi="Arial"/>
                <w:b/>
                <w:bCs/>
                <w:color w:val="7B2D8B"/>
                <w:sz w:val="21"/>
                <w:szCs w:val="21"/>
              </w:rPr>
              <w:t xml:space="preserve">Objective: </w:t>
            </w:r>
            <w:r>
              <w:rPr>
                <w:rFonts w:ascii="Arial" w:cs="Arial" w:eastAsia="Arial" w:hAnsi="Arial"/>
                <w:color w:val="4A5568"/>
                <w:sz w:val="21"/>
                <w:szCs w:val="21"/>
              </w:rPr>
              <w:t xml:space="preserve">Integrate the optional LLM verdict explanation layer (local Ollama) and build the MCP server that exposes Lure as a set of tools callable by Claude Code or other agents. Polish CLI, documentation, and release.</w:t>
            </w:r>
          </w:p>
        </w:tc>
      </w:tr>
      <w:tr>
        <w:tc>
          <w:tcPr>
            <w:tcW w:type="dxa" w:w="400"/>
            <w:tcBorders>
              <w:top w:val="none" w:color="FFFFFF" w:sz="0"/>
              <w:left w:val="none" w:color="FFFFFF" w:sz="0"/>
              <w:bottom w:val="none" w:color="FFFFFF" w:sz="0"/>
              <w:right w:val="none" w:color="FFFFFF" w:sz="0"/>
            </w:tcBorders>
            <w:shd w:fill="F5EEF8" w:val="clear"/>
            <w:tcMar>
              <w:top w:type="dxa" w:w="40"/>
              <w:left w:type="dxa" w:w="180"/>
              <w:bottom w:type="dxa" w:w="40"/>
              <w:right w:type="dxa" w:w="80"/>
            </w:tcMar>
          </w:tcPr>
          <w:p>
            <w:pPr>
              <w:spacing w:before="0" w:after="0"/>
            </w:pPr>
            <w:r>
              <w:rPr>
                <w:rFonts w:ascii="Arial" w:cs="Arial" w:eastAsia="Arial" w:hAnsi="Arial"/>
                <w:color w:val="7B2D8B"/>
                <w:sz w:val="22"/>
                <w:szCs w:val="22"/>
              </w:rPr>
              <w:t xml:space="preserve">▸</w:t>
            </w:r>
          </w:p>
        </w:tc>
        <w:tc>
          <w:tcPr>
            <w:tcW w:type="dxa" w:w="8960"/>
            <w:tcBorders>
              <w:top w:val="none" w:color="FFFFFF" w:sz="0"/>
              <w:left w:val="none" w:color="FFFFFF" w:sz="0"/>
              <w:bottom w:val="none" w:color="FFFFFF" w:sz="0"/>
              <w:right w:val="none" w:color="FFFFFF" w:sz="0"/>
            </w:tcBorders>
            <w:shd w:fill="F5EEF8"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Implement Ollama client (ollama_client.py): OpenAI-compatible endpoint, instructor library for structured output</w:t>
            </w:r>
          </w:p>
        </w:tc>
      </w:tr>
      <w:tr>
        <w:tc>
          <w:tcPr>
            <w:tcW w:type="dxa" w:w="400"/>
            <w:tcBorders>
              <w:top w:val="none" w:color="FFFFFF" w:sz="0"/>
              <w:left w:val="none" w:color="FFFFFF" w:sz="0"/>
              <w:bottom w:val="none" w:color="FFFFFF" w:sz="0"/>
              <w:right w:val="none" w:color="FFFFFF" w:sz="0"/>
            </w:tcBorders>
            <w:shd w:fill="F5EEF8" w:val="clear"/>
            <w:tcMar>
              <w:top w:type="dxa" w:w="40"/>
              <w:left w:type="dxa" w:w="180"/>
              <w:bottom w:type="dxa" w:w="40"/>
              <w:right w:type="dxa" w:w="80"/>
            </w:tcMar>
          </w:tcPr>
          <w:p>
            <w:pPr>
              <w:spacing w:before="0" w:after="0"/>
            </w:pPr>
            <w:r>
              <w:rPr>
                <w:rFonts w:ascii="Arial" w:cs="Arial" w:eastAsia="Arial" w:hAnsi="Arial"/>
                <w:color w:val="7B2D8B"/>
                <w:sz w:val="22"/>
                <w:szCs w:val="22"/>
              </w:rPr>
              <w:t xml:space="preserve">▸</w:t>
            </w:r>
          </w:p>
        </w:tc>
        <w:tc>
          <w:tcPr>
            <w:tcW w:type="dxa" w:w="8960"/>
            <w:tcBorders>
              <w:top w:val="none" w:color="FFFFFF" w:sz="0"/>
              <w:left w:val="none" w:color="FFFFFF" w:sz="0"/>
              <w:bottom w:val="none" w:color="FFFFFF" w:sz="0"/>
              <w:right w:val="none" w:color="FFFFFF" w:sz="0"/>
            </w:tcBorders>
            <w:shd w:fill="F5EEF8"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Build verdict explanation prompts: feed AnalysisResult JSON → request AnalystSummary (explanation, attack_scenario, recommended_actions, confidence)</w:t>
            </w:r>
          </w:p>
        </w:tc>
      </w:tr>
      <w:tr>
        <w:tc>
          <w:tcPr>
            <w:tcW w:type="dxa" w:w="400"/>
            <w:tcBorders>
              <w:top w:val="none" w:color="FFFFFF" w:sz="0"/>
              <w:left w:val="none" w:color="FFFFFF" w:sz="0"/>
              <w:bottom w:val="none" w:color="FFFFFF" w:sz="0"/>
              <w:right w:val="none" w:color="FFFFFF" w:sz="0"/>
            </w:tcBorders>
            <w:shd w:fill="F5EEF8" w:val="clear"/>
            <w:tcMar>
              <w:top w:type="dxa" w:w="40"/>
              <w:left w:type="dxa" w:w="180"/>
              <w:bottom w:type="dxa" w:w="40"/>
              <w:right w:type="dxa" w:w="80"/>
            </w:tcMar>
          </w:tcPr>
          <w:p>
            <w:pPr>
              <w:spacing w:before="0" w:after="0"/>
            </w:pPr>
            <w:r>
              <w:rPr>
                <w:rFonts w:ascii="Arial" w:cs="Arial" w:eastAsia="Arial" w:hAnsi="Arial"/>
                <w:color w:val="7B2D8B"/>
                <w:sz w:val="22"/>
                <w:szCs w:val="22"/>
              </w:rPr>
              <w:t xml:space="preserve">▸</w:t>
            </w:r>
          </w:p>
        </w:tc>
        <w:tc>
          <w:tcPr>
            <w:tcW w:type="dxa" w:w="8960"/>
            <w:tcBorders>
              <w:top w:val="none" w:color="FFFFFF" w:sz="0"/>
              <w:left w:val="none" w:color="FFFFFF" w:sz="0"/>
              <w:bottom w:val="none" w:color="FFFFFF" w:sz="0"/>
              <w:right w:val="none" w:color="FFFFFF" w:sz="0"/>
            </w:tcBorders>
            <w:shd w:fill="F5EEF8"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Build header anomaly prompts: feed Received chain → request routing anomaly analysis in structured output</w:t>
            </w:r>
          </w:p>
        </w:tc>
      </w:tr>
      <w:tr>
        <w:tc>
          <w:tcPr>
            <w:tcW w:type="dxa" w:w="400"/>
            <w:tcBorders>
              <w:top w:val="none" w:color="FFFFFF" w:sz="0"/>
              <w:left w:val="none" w:color="FFFFFF" w:sz="0"/>
              <w:bottom w:val="none" w:color="FFFFFF" w:sz="0"/>
              <w:right w:val="none" w:color="FFFFFF" w:sz="0"/>
            </w:tcBorders>
            <w:shd w:fill="F5EEF8" w:val="clear"/>
            <w:tcMar>
              <w:top w:type="dxa" w:w="40"/>
              <w:left w:type="dxa" w:w="180"/>
              <w:bottom w:type="dxa" w:w="40"/>
              <w:right w:type="dxa" w:w="80"/>
            </w:tcMar>
          </w:tcPr>
          <w:p>
            <w:pPr>
              <w:spacing w:before="0" w:after="0"/>
            </w:pPr>
            <w:r>
              <w:rPr>
                <w:rFonts w:ascii="Arial" w:cs="Arial" w:eastAsia="Arial" w:hAnsi="Arial"/>
                <w:color w:val="7B2D8B"/>
                <w:sz w:val="22"/>
                <w:szCs w:val="22"/>
              </w:rPr>
              <w:t xml:space="preserve">▸</w:t>
            </w:r>
          </w:p>
        </w:tc>
        <w:tc>
          <w:tcPr>
            <w:tcW w:type="dxa" w:w="8960"/>
            <w:tcBorders>
              <w:top w:val="none" w:color="FFFFFF" w:sz="0"/>
              <w:left w:val="none" w:color="FFFFFF" w:sz="0"/>
              <w:bottom w:val="none" w:color="FFFFFF" w:sz="0"/>
              <w:right w:val="none" w:color="FFFFFF" w:sz="0"/>
            </w:tcBorders>
            <w:shd w:fill="F5EEF8"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Implement --no-llm flag (default: skip LLM if OLLAMA_URL not set); always gracefully degrade</w:t>
            </w:r>
          </w:p>
        </w:tc>
      </w:tr>
      <w:tr>
        <w:tc>
          <w:tcPr>
            <w:tcW w:type="dxa" w:w="400"/>
            <w:tcBorders>
              <w:top w:val="none" w:color="FFFFFF" w:sz="0"/>
              <w:left w:val="none" w:color="FFFFFF" w:sz="0"/>
              <w:bottom w:val="none" w:color="FFFFFF" w:sz="0"/>
              <w:right w:val="none" w:color="FFFFFF" w:sz="0"/>
            </w:tcBorders>
            <w:shd w:fill="F5EEF8" w:val="clear"/>
            <w:tcMar>
              <w:top w:type="dxa" w:w="40"/>
              <w:left w:type="dxa" w:w="180"/>
              <w:bottom w:type="dxa" w:w="40"/>
              <w:right w:type="dxa" w:w="80"/>
            </w:tcMar>
          </w:tcPr>
          <w:p>
            <w:pPr>
              <w:spacing w:before="0" w:after="0"/>
            </w:pPr>
            <w:r>
              <w:rPr>
                <w:rFonts w:ascii="Arial" w:cs="Arial" w:eastAsia="Arial" w:hAnsi="Arial"/>
                <w:color w:val="7B2D8B"/>
                <w:sz w:val="22"/>
                <w:szCs w:val="22"/>
              </w:rPr>
              <w:t xml:space="preserve">▸</w:t>
            </w:r>
          </w:p>
        </w:tc>
        <w:tc>
          <w:tcPr>
            <w:tcW w:type="dxa" w:w="8960"/>
            <w:tcBorders>
              <w:top w:val="none" w:color="FFFFFF" w:sz="0"/>
              <w:left w:val="none" w:color="FFFFFF" w:sz="0"/>
              <w:bottom w:val="none" w:color="FFFFFF" w:sz="0"/>
              <w:right w:val="none" w:color="FFFFFF" w:sz="0"/>
            </w:tcBorders>
            <w:shd w:fill="F5EEF8"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Build MCP server (mcp/server.py) exposing: lure_analyze_email, lure_lookup_ioc, lure_get_verdict, lure_list_campaigns, lure_submit_to_misp</w:t>
            </w:r>
          </w:p>
        </w:tc>
      </w:tr>
      <w:tr>
        <w:tc>
          <w:tcPr>
            <w:tcW w:type="dxa" w:w="400"/>
            <w:tcBorders>
              <w:top w:val="none" w:color="FFFFFF" w:sz="0"/>
              <w:left w:val="none" w:color="FFFFFF" w:sz="0"/>
              <w:bottom w:val="none" w:color="FFFFFF" w:sz="0"/>
              <w:right w:val="none" w:color="FFFFFF" w:sz="0"/>
            </w:tcBorders>
            <w:shd w:fill="F5EEF8" w:val="clear"/>
            <w:tcMar>
              <w:top w:type="dxa" w:w="40"/>
              <w:left w:type="dxa" w:w="180"/>
              <w:bottom w:type="dxa" w:w="40"/>
              <w:right w:type="dxa" w:w="80"/>
            </w:tcMar>
          </w:tcPr>
          <w:p>
            <w:pPr>
              <w:spacing w:before="0" w:after="0"/>
            </w:pPr>
            <w:r>
              <w:rPr>
                <w:rFonts w:ascii="Arial" w:cs="Arial" w:eastAsia="Arial" w:hAnsi="Arial"/>
                <w:color w:val="7B2D8B"/>
                <w:sz w:val="22"/>
                <w:szCs w:val="22"/>
              </w:rPr>
              <w:t xml:space="preserve">▸</w:t>
            </w:r>
          </w:p>
        </w:tc>
        <w:tc>
          <w:tcPr>
            <w:tcW w:type="dxa" w:w="8960"/>
            <w:tcBorders>
              <w:top w:val="none" w:color="FFFFFF" w:sz="0"/>
              <w:left w:val="none" w:color="FFFFFF" w:sz="0"/>
              <w:bottom w:val="none" w:color="FFFFFF" w:sz="0"/>
              <w:right w:val="none" w:color="FFFFFF" w:sz="0"/>
            </w:tcBorders>
            <w:shd w:fill="F5EEF8"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Write MCP tool schemas with full parameter/return type documentation for agent consumption</w:t>
            </w:r>
          </w:p>
        </w:tc>
      </w:tr>
      <w:tr>
        <w:tc>
          <w:tcPr>
            <w:tcW w:type="dxa" w:w="400"/>
            <w:tcBorders>
              <w:top w:val="none" w:color="FFFFFF" w:sz="0"/>
              <w:left w:val="none" w:color="FFFFFF" w:sz="0"/>
              <w:bottom w:val="none" w:color="FFFFFF" w:sz="0"/>
              <w:right w:val="none" w:color="FFFFFF" w:sz="0"/>
            </w:tcBorders>
            <w:shd w:fill="F5EEF8" w:val="clear"/>
            <w:tcMar>
              <w:top w:type="dxa" w:w="40"/>
              <w:left w:type="dxa" w:w="180"/>
              <w:bottom w:type="dxa" w:w="40"/>
              <w:right w:type="dxa" w:w="80"/>
            </w:tcMar>
          </w:tcPr>
          <w:p>
            <w:pPr>
              <w:spacing w:before="0" w:after="0"/>
            </w:pPr>
            <w:r>
              <w:rPr>
                <w:rFonts w:ascii="Arial" w:cs="Arial" w:eastAsia="Arial" w:hAnsi="Arial"/>
                <w:color w:val="7B2D8B"/>
                <w:sz w:val="22"/>
                <w:szCs w:val="22"/>
              </w:rPr>
              <w:t xml:space="preserve">▸</w:t>
            </w:r>
          </w:p>
        </w:tc>
        <w:tc>
          <w:tcPr>
            <w:tcW w:type="dxa" w:w="8960"/>
            <w:tcBorders>
              <w:top w:val="none" w:color="FFFFFF" w:sz="0"/>
              <w:left w:val="none" w:color="FFFFFF" w:sz="0"/>
              <w:bottom w:val="none" w:color="FFFFFF" w:sz="0"/>
              <w:right w:val="none" w:color="FFFFFF" w:sz="0"/>
            </w:tcBorders>
            <w:shd w:fill="F5EEF8"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CLI polish: rich library for terminal output (progress bars, color verdict banner, tables)</w:t>
            </w:r>
          </w:p>
        </w:tc>
      </w:tr>
      <w:tr>
        <w:tc>
          <w:tcPr>
            <w:tcW w:type="dxa" w:w="400"/>
            <w:tcBorders>
              <w:top w:val="none" w:color="FFFFFF" w:sz="0"/>
              <w:left w:val="none" w:color="FFFFFF" w:sz="0"/>
              <w:bottom w:val="none" w:color="FFFFFF" w:sz="0"/>
              <w:right w:val="none" w:color="FFFFFF" w:sz="0"/>
            </w:tcBorders>
            <w:shd w:fill="F5EEF8" w:val="clear"/>
            <w:tcMar>
              <w:top w:type="dxa" w:w="40"/>
              <w:left w:type="dxa" w:w="180"/>
              <w:bottom w:type="dxa" w:w="40"/>
              <w:right w:type="dxa" w:w="80"/>
            </w:tcMar>
          </w:tcPr>
          <w:p>
            <w:pPr>
              <w:spacing w:before="0" w:after="0"/>
            </w:pPr>
            <w:r>
              <w:rPr>
                <w:rFonts w:ascii="Arial" w:cs="Arial" w:eastAsia="Arial" w:hAnsi="Arial"/>
                <w:color w:val="7B2D8B"/>
                <w:sz w:val="22"/>
                <w:szCs w:val="22"/>
              </w:rPr>
              <w:t xml:space="preserve">▸</w:t>
            </w:r>
          </w:p>
        </w:tc>
        <w:tc>
          <w:tcPr>
            <w:tcW w:type="dxa" w:w="8960"/>
            <w:tcBorders>
              <w:top w:val="none" w:color="FFFFFF" w:sz="0"/>
              <w:left w:val="none" w:color="FFFFFF" w:sz="0"/>
              <w:bottom w:val="none" w:color="FFFFFF" w:sz="0"/>
              <w:right w:val="none" w:color="FFFFFF" w:sz="0"/>
            </w:tcBorders>
            <w:shd w:fill="F5EEF8"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lure --help, lure config validate, lure rules update (pulls latest signature-base), lure cache clear</w:t>
            </w:r>
          </w:p>
        </w:tc>
      </w:tr>
      <w:tr>
        <w:tc>
          <w:tcPr>
            <w:tcW w:type="dxa" w:w="400"/>
            <w:tcBorders>
              <w:top w:val="none" w:color="FFFFFF" w:sz="0"/>
              <w:left w:val="none" w:color="FFFFFF" w:sz="0"/>
              <w:bottom w:val="none" w:color="FFFFFF" w:sz="0"/>
              <w:right w:val="none" w:color="FFFFFF" w:sz="0"/>
            </w:tcBorders>
            <w:shd w:fill="F5EEF8" w:val="clear"/>
            <w:tcMar>
              <w:top w:type="dxa" w:w="40"/>
              <w:left w:type="dxa" w:w="180"/>
              <w:bottom w:type="dxa" w:w="40"/>
              <w:right w:type="dxa" w:w="80"/>
            </w:tcMar>
          </w:tcPr>
          <w:p>
            <w:pPr>
              <w:spacing w:before="0" w:after="0"/>
            </w:pPr>
            <w:r>
              <w:rPr>
                <w:rFonts w:ascii="Arial" w:cs="Arial" w:eastAsia="Arial" w:hAnsi="Arial"/>
                <w:color w:val="7B2D8B"/>
                <w:sz w:val="22"/>
                <w:szCs w:val="22"/>
              </w:rPr>
              <w:t xml:space="preserve">▸</w:t>
            </w:r>
          </w:p>
        </w:tc>
        <w:tc>
          <w:tcPr>
            <w:tcW w:type="dxa" w:w="8960"/>
            <w:tcBorders>
              <w:top w:val="none" w:color="FFFFFF" w:sz="0"/>
              <w:left w:val="none" w:color="FFFFFF" w:sz="0"/>
              <w:bottom w:val="none" w:color="FFFFFF" w:sz="0"/>
              <w:right w:val="none" w:color="FFFFFF" w:sz="0"/>
            </w:tcBorders>
            <w:shd w:fill="F5EEF8"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Write USAGE.md, CONTRIBUTING.md, API_KEYS.md, INTEGRATIONS.md</w:t>
            </w:r>
          </w:p>
        </w:tc>
      </w:tr>
      <w:tr>
        <w:tc>
          <w:tcPr>
            <w:tcW w:type="dxa" w:w="400"/>
            <w:tcBorders>
              <w:top w:val="none" w:color="FFFFFF" w:sz="0"/>
              <w:left w:val="none" w:color="FFFFFF" w:sz="0"/>
              <w:bottom w:val="none" w:color="FFFFFF" w:sz="0"/>
              <w:right w:val="none" w:color="FFFFFF" w:sz="0"/>
            </w:tcBorders>
            <w:shd w:fill="F5EEF8" w:val="clear"/>
            <w:tcMar>
              <w:top w:type="dxa" w:w="40"/>
              <w:left w:type="dxa" w:w="180"/>
              <w:bottom w:type="dxa" w:w="40"/>
              <w:right w:type="dxa" w:w="80"/>
            </w:tcMar>
          </w:tcPr>
          <w:p>
            <w:pPr>
              <w:spacing w:before="0" w:after="0"/>
            </w:pPr>
            <w:r>
              <w:rPr>
                <w:rFonts w:ascii="Arial" w:cs="Arial" w:eastAsia="Arial" w:hAnsi="Arial"/>
                <w:color w:val="7B2D8B"/>
                <w:sz w:val="22"/>
                <w:szCs w:val="22"/>
              </w:rPr>
              <w:t xml:space="preserve">▸</w:t>
            </w:r>
          </w:p>
        </w:tc>
        <w:tc>
          <w:tcPr>
            <w:tcW w:type="dxa" w:w="8960"/>
            <w:tcBorders>
              <w:top w:val="none" w:color="FFFFFF" w:sz="0"/>
              <w:left w:val="none" w:color="FFFFFF" w:sz="0"/>
              <w:bottom w:val="none" w:color="FFFFFF" w:sz="0"/>
              <w:right w:val="none" w:color="FFFFFF" w:sz="0"/>
            </w:tcBorders>
            <w:shd w:fill="F5EEF8" w:val="clear"/>
            <w:tcMar>
              <w:top w:type="dxa" w:w="40"/>
              <w:left w:type="dxa" w:w="60"/>
              <w:bottom w:type="dxa" w:w="40"/>
              <w:right w:type="dxa" w:w="160"/>
            </w:tcMar>
          </w:tcPr>
          <w:p>
            <w:pPr>
              <w:spacing w:before="0" w:after="0"/>
            </w:pPr>
            <w:r>
              <w:rPr>
                <w:rFonts w:ascii="Arial" w:cs="Arial" w:eastAsia="Arial" w:hAnsi="Arial"/>
                <w:color w:val="4A5568"/>
                <w:sz w:val="21"/>
                <w:szCs w:val="21"/>
              </w:rPr>
              <w:t xml:space="preserve">Release checklist: all tests pass, Docker image builds, MCP server starts cleanly, demo .eml files included</w:t>
            </w:r>
          </w:p>
        </w:tc>
      </w:tr>
      <w:tr>
        <w:tc>
          <w:tcPr>
            <w:tcW w:type="dxa" w:w="9360"/>
            <w:tcBorders>
              <w:top w:val="none" w:color="FFFFFF" w:sz="0"/>
              <w:left w:val="none" w:color="FFFFFF" w:sz="0"/>
              <w:bottom w:val="single" w:color="7B2D8B" w:sz="3"/>
              <w:right w:val="none" w:color="FFFFFF" w:sz="0"/>
            </w:tcBorders>
            <w:shd w:fill="F5EEF8" w:val="clear"/>
            <w:tcMar>
              <w:top w:type="dxa" w:w="80"/>
              <w:left w:type="dxa" w:w="200"/>
              <w:bottom w:type="dxa" w:w="60"/>
              <w:right w:type="dxa" w:w="160"/>
            </w:tcMar>
          </w:tcPr>
          <w:p>
            <w:pPr>
              <w:spacing w:before="0" w:after="0"/>
            </w:pPr>
            <w:r>
              <w:t xml:space="preserve"/>
            </w:r>
          </w:p>
        </w:tc>
      </w:tr>
    </w:tbl>
    <w:p>
      <w:pPr>
        <w:spacing w:before="200" w:after="0"/>
      </w:pPr>
      <w:r>
        <w:t xml:space="preserve"/>
      </w:r>
    </w:p>
    <w:p>
      <w:pPr>
        <w:pStyle w:val="Heading1"/>
        <w:pageBreakBefore/>
        <w:pBdr>
          <w:bottom w:val="single" w:color="0D7377" w:sz="8" w:space="6"/>
        </w:pBdr>
        <w:spacing w:before="0" w:after="200"/>
      </w:pPr>
      <w:bookmarkStart w:name="module-specs" w:id="1"/>
      <w:r>
        <w:rPr>
          <w:rFonts w:ascii="Arial" w:cs="Arial" w:eastAsia="Arial" w:hAnsi="Arial"/>
          <w:b/>
          <w:bCs/>
          <w:color w:val="1B2A4A"/>
          <w:sz w:val="36"/>
          <w:szCs w:val="36"/>
        </w:rPr>
        <w:t xml:space="preserve">Detailed Module Specifications</w:t>
      </w:r>
      <w:bookmarkEnd w:id="1"/>
    </w:p>
    <w:p>
      <w:pPr>
        <w:pStyle w:val="Heading2"/>
        <w:spacing w:before="300" w:after="120"/>
      </w:pPr>
      <w:bookmarkStart w:name="cli-entrypoint-(cli.py)" w:id="1"/>
      <w:r>
        <w:rPr>
          <w:rFonts w:ascii="Arial" w:cs="Arial" w:eastAsia="Arial" w:hAnsi="Arial"/>
          <w:b/>
          <w:bCs/>
          <w:color w:val="1B2A4A"/>
          <w:sz w:val="28"/>
          <w:szCs w:val="28"/>
        </w:rPr>
        <w:t xml:space="preserve">CLI Entrypoint (cli.py)</w:t>
      </w:r>
      <w:bookmarkEnd w:id="1"/>
    </w:p>
    <w:p>
      <w:pPr>
        <w:spacing w:before="60" w:after="100"/>
        <w:jc w:val="left"/>
      </w:pPr>
      <w:r>
        <w:rPr>
          <w:rFonts w:ascii="Arial" w:cs="Arial" w:eastAsia="Arial" w:hAnsi="Arial"/>
          <w:b w:val="false"/>
          <w:bCs w:val="false"/>
          <w:i w:val="false"/>
          <w:iCs w:val="false"/>
          <w:color w:val="4A5568"/>
          <w:sz w:val="22"/>
          <w:szCs w:val="22"/>
        </w:rPr>
        <w:t xml:space="preserve">Built with Typer + Rich. Single entrypoint with subcommands.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Command</w:t>
            </w:r>
          </w:p>
        </w:tc>
        <w:tc>
          <w:tcPr>
            <w:tcW w:type="dxa" w:w="3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Arguments</w:t>
            </w:r>
          </w:p>
        </w:tc>
        <w:tc>
          <w:tcPr>
            <w:tcW w:type="dxa" w:w="29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lure analyze &lt;file&gt;</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--format json|html|stix|all, --output &lt;path&gt;, --no-llm, --no-enrich</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Analyze a single .eml or .msg file</w:t>
            </w:r>
          </w:p>
        </w:tc>
      </w:tr>
      <w:tr>
        <w:tc>
          <w:tcPr>
            <w:tcW w:type="dxa" w:w="28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lure batch &lt;directory&gt;</w:t>
            </w:r>
          </w:p>
        </w:tc>
        <w:tc>
          <w:tcPr>
            <w:tcW w:type="dxa" w:w="36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--format, --output-dir, --campaign-name</w:t>
            </w:r>
          </w:p>
        </w:tc>
        <w:tc>
          <w:tcPr>
            <w:tcW w:type="dxa" w:w="29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Analyze all .eml/.msg files in a directory</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lure ioc &lt;indicator&gt;</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--type ip|url|domain|hash, --format json|text</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Enrich a single IOC on-demand</w:t>
            </w:r>
          </w:p>
        </w:tc>
      </w:tr>
      <w:tr>
        <w:tc>
          <w:tcPr>
            <w:tcW w:type="dxa" w:w="28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lure rules update</w:t>
            </w:r>
          </w:p>
        </w:tc>
        <w:tc>
          <w:tcPr>
            <w:tcW w:type="dxa" w:w="36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--ruleset all|signature-base|inquest|reversinglabs</w:t>
            </w:r>
          </w:p>
        </w:tc>
        <w:tc>
          <w:tcPr>
            <w:tcW w:type="dxa" w:w="29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Pull latest YARA rules from GitHub</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lure rules learn &lt;sample&gt;</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--name &lt;rule-name&gt;, --ruleset custom</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Generate YARA rule from confirmed sample</w:t>
            </w:r>
          </w:p>
        </w:tc>
      </w:tr>
      <w:tr>
        <w:tc>
          <w:tcPr>
            <w:tcW w:type="dxa" w:w="28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lure cache clear</w:t>
            </w:r>
          </w:p>
        </w:tc>
        <w:tc>
          <w:tcPr>
            <w:tcW w:type="dxa" w:w="36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--older-than &lt;hours&gt;</w:t>
            </w:r>
          </w:p>
        </w:tc>
        <w:tc>
          <w:tcPr>
            <w:tcW w:type="dxa" w:w="29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Clear enrichment cache entries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lure config validate</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Validate .env, API keys, YARA rules, Ollama connection</w:t>
            </w:r>
          </w:p>
        </w:tc>
      </w:tr>
      <w:tr>
        <w:tc>
          <w:tcPr>
            <w:tcW w:type="dxa" w:w="28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lure serve mcp</w:t>
            </w:r>
          </w:p>
        </w:tc>
        <w:tc>
          <w:tcPr>
            <w:tcW w:type="dxa" w:w="36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--port &lt;port&gt;</w:t>
            </w:r>
          </w:p>
        </w:tc>
        <w:tc>
          <w:tcPr>
            <w:tcW w:type="dxa" w:w="29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Start MCP server for agent integration</w:t>
            </w:r>
          </w:p>
        </w:tc>
      </w:tr>
    </w:tbl>
    <w:p>
      <w:pPr>
        <w:spacing w:before="200" w:after="0"/>
      </w:pPr>
      <w:r>
        <w:t xml:space="preserve"/>
      </w:r>
    </w:p>
    <w:p>
      <w:pPr>
        <w:pStyle w:val="Heading2"/>
        <w:spacing w:before="300" w:after="120"/>
      </w:pPr>
      <w:bookmarkStart w:name="enrichment-orchestrator-(enricher.py)" w:id="1"/>
      <w:r>
        <w:rPr>
          <w:rFonts w:ascii="Arial" w:cs="Arial" w:eastAsia="Arial" w:hAnsi="Arial"/>
          <w:b/>
          <w:bCs/>
          <w:color w:val="1B2A4A"/>
          <w:sz w:val="28"/>
          <w:szCs w:val="28"/>
        </w:rPr>
        <w:t xml:space="preserve">Enrichment Orchestrator (enricher.py)</w:t>
      </w:r>
      <w:bookmarkEnd w:id="1"/>
    </w:p>
    <w:p>
      <w:pPr>
        <w:spacing w:before="60" w:after="100"/>
        <w:jc w:val="left"/>
      </w:pPr>
      <w:r>
        <w:rPr>
          <w:rFonts w:ascii="Arial" w:cs="Arial" w:eastAsia="Arial" w:hAnsi="Arial"/>
          <w:b w:val="false"/>
          <w:bCs w:val="false"/>
          <w:i w:val="false"/>
          <w:iCs w:val="false"/>
          <w:color w:val="4A5568"/>
          <w:sz w:val="22"/>
          <w:szCs w:val="22"/>
        </w:rPr>
        <w:t xml:space="preserve">The enrichment orchestrator is the most performance-sensitive module. It must: deduplicate IOCs before any API calls, look up all IOCs in cache first, batch all cache misses into concurrent API calls, and write results back to cache after retrieval.</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6"/>
              <w:bottom w:val="single" w:color="C0392B" w:sz="1"/>
              <w:right w:val="single" w:color="C0392B" w:sz="1"/>
            </w:tcBorders>
            <w:shd w:fill="FDEDEC" w:val="clear"/>
            <w:tcMar>
              <w:top w:type="dxa" w:w="120"/>
              <w:left w:type="dxa" w:w="200"/>
              <w:bottom w:type="dxa" w:w="120"/>
              <w:right w:type="dxa" w:w="160"/>
            </w:tcMar>
          </w:tcPr>
          <w:p>
            <w:pPr>
              <w:spacing w:before="0" w:after="60"/>
            </w:pPr>
            <w:r>
              <w:rPr>
                <w:rFonts w:ascii="Arial" w:cs="Arial" w:eastAsia="Arial" w:hAnsi="Arial"/>
                <w:b/>
                <w:bCs/>
                <w:caps/>
                <w:color w:val="C0392B"/>
                <w:sz w:val="20"/>
                <w:szCs w:val="20"/>
              </w:rPr>
              <w:t xml:space="preserve">Zero-Day Window Coverage</w:t>
            </w:r>
          </w:p>
          <w:p>
            <w:pPr>
              <w:spacing w:before="0" w:after="0"/>
            </w:pPr>
            <w:r>
              <w:rPr>
                <w:rFonts w:ascii="Arial" w:cs="Arial" w:eastAsia="Arial" w:hAnsi="Arial"/>
                <w:color w:val="4A5568"/>
                <w:sz w:val="21"/>
                <w:szCs w:val="21"/>
              </w:rPr>
              <w:t xml:space="preserve">A freshly registered phishing domain will have zero VirusTotal detections for 24–72 hours. Lure MUST NOT return CLEAN based on VT alone. The zero-day window is covered by: (1) domain age from WHOIS, (2) urlscan DOM analysis revealing credential forms, (3) Google Safe Browsing, (4) PhishTank community submissions. All four must be evaluated before a CLEAN verdict is possible.</w:t>
            </w:r>
          </w:p>
        </w:tc>
      </w:tr>
    </w:tbl>
    <w:p>
      <w:pPr>
        <w:spacing w:before="200" w:after="0"/>
      </w:pPr>
      <w:r>
        <w:t xml:space="preserve"/>
      </w:r>
    </w:p>
    <w:p>
      <w:pPr>
        <w:pStyle w:val="Heading2"/>
        <w:spacing w:before="300" w:after="120"/>
      </w:pPr>
      <w:bookmarkStart w:name="html-report-template-requirements" w:id="1"/>
      <w:r>
        <w:rPr>
          <w:rFonts w:ascii="Arial" w:cs="Arial" w:eastAsia="Arial" w:hAnsi="Arial"/>
          <w:b/>
          <w:bCs/>
          <w:color w:val="1B2A4A"/>
          <w:sz w:val="28"/>
          <w:szCs w:val="28"/>
        </w:rPr>
        <w:t xml:space="preserve">HTML Report Template Requirements</w:t>
      </w:r>
      <w:bookmarkEnd w:id="1"/>
    </w:p>
    <w:p>
      <w:pPr>
        <w:spacing w:before="60" w:after="100"/>
        <w:jc w:val="left"/>
      </w:pPr>
      <w:r>
        <w:rPr>
          <w:rFonts w:ascii="Arial" w:cs="Arial" w:eastAsia="Arial" w:hAnsi="Arial"/>
          <w:b w:val="false"/>
          <w:bCs w:val="false"/>
          <w:i w:val="false"/>
          <w:iCs w:val="false"/>
          <w:color w:val="4A5568"/>
          <w:sz w:val="22"/>
          <w:szCs w:val="22"/>
        </w:rPr>
        <w:t xml:space="preserve">The HTML report is what L1 analysts read during a shift. Design requirements are non-negotiable for operational use.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Component</w:t>
            </w:r>
          </w:p>
        </w:tc>
        <w:tc>
          <w:tcPr>
            <w:tcW w:type="dxa" w:w="3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Requirement</w:t>
            </w:r>
          </w:p>
        </w:tc>
        <w:tc>
          <w:tcPr>
            <w:tcW w:type="dxa" w:w="39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Implementation</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Verdict banner</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Full-width color bar (green/yellow/orange/red) with verdict text and score</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CSS class on &lt;header&gt; element</w:t>
            </w:r>
          </w:p>
        </w:tc>
      </w:tr>
      <w:tr>
        <w:tc>
          <w:tcPr>
            <w:tcW w:type="dxa" w:w="2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SPF/DKIM/DMARC badges</w:t>
            </w:r>
          </w:p>
        </w:tc>
        <w:tc>
          <w:tcPr>
            <w:tcW w:type="dxa" w:w="34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Traffic-light colored pill badges (PASS=green, FAIL=red, NONE=grey)</w:t>
            </w:r>
          </w:p>
        </w:tc>
        <w:tc>
          <w:tcPr>
            <w:tcW w:type="dxa" w:w="39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Inline SVG or CSS badges</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Routing chain</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Text-art hop diagram: IP → Relay → Gateway with anomalies highlighted in red</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Pre-formatted HTML block</w:t>
            </w:r>
          </w:p>
        </w:tc>
      </w:tr>
      <w:tr>
        <w:tc>
          <w:tcPr>
            <w:tcW w:type="dxa" w:w="2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IOC table</w:t>
            </w:r>
          </w:p>
        </w:tc>
        <w:tc>
          <w:tcPr>
            <w:tcW w:type="dxa" w:w="34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Sortable table: IOC value, type, enrichment badges (VT score, AbuseIPDB score)</w:t>
            </w:r>
          </w:p>
        </w:tc>
        <w:tc>
          <w:tcPr>
            <w:tcW w:type="dxa" w:w="39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JavaScript DataTables or CSS</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YARA panel</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Collapsible section per match: rule name, ruleset, matched strings with byte offset</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Details/summary HTML</w:t>
            </w:r>
          </w:p>
        </w:tc>
      </w:tr>
      <w:tr>
        <w:tc>
          <w:tcPr>
            <w:tcW w:type="dxa" w:w="2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Attachment panel</w:t>
            </w:r>
          </w:p>
        </w:tc>
        <w:tc>
          <w:tcPr>
            <w:tcW w:type="dxa" w:w="34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Per-attachment: filename, type, hash, VBA/PDF findings, YARA match count</w:t>
            </w:r>
          </w:p>
        </w:tc>
        <w:tc>
          <w:tcPr>
            <w:tcW w:type="dxa" w:w="39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Expandable card per attachment</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Copy IOCs button</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One-click copy all IOCs as JSON to clipboard</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navigator.clipboard.writeText()</w:t>
            </w:r>
          </w:p>
        </w:tc>
      </w:tr>
      <w:tr>
        <w:tc>
          <w:tcPr>
            <w:tcW w:type="dxa" w:w="2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Export PDF button</w:t>
            </w:r>
          </w:p>
        </w:tc>
        <w:tc>
          <w:tcPr>
            <w:tcW w:type="dxa" w:w="34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Trigger browser print dialog optimized for PDF output</w:t>
            </w:r>
          </w:p>
        </w:tc>
        <w:tc>
          <w:tcPr>
            <w:tcW w:type="dxa" w:w="39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window.print() + @media print CSS</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LLM summary box</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Analyst summary paragraph from LLM (highlighted, collapsible if long)</w:t>
            </w:r>
          </w:p>
        </w:tc>
        <w:tc>
          <w:tcPr>
            <w:tcW w:type="dxa" w:w="3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Styled blockquote element</w:t>
            </w:r>
          </w:p>
        </w:tc>
      </w:tr>
      <w:tr>
        <w:tc>
          <w:tcPr>
            <w:tcW w:type="dxa" w:w="2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Signal breakdown</w:t>
            </w:r>
          </w:p>
        </w:tc>
        <w:tc>
          <w:tcPr>
            <w:tcW w:type="dxa" w:w="34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Table of all signals fired with weight and trigger condition</w:t>
            </w:r>
          </w:p>
        </w:tc>
        <w:tc>
          <w:tcPr>
            <w:tcW w:type="dxa" w:w="39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Styled table in report body</w:t>
            </w:r>
          </w:p>
        </w:tc>
      </w:tr>
    </w:tbl>
    <w:p>
      <w:pPr>
        <w:spacing w:before="200" w:after="0"/>
      </w:pPr>
      <w:r>
        <w:t xml:space="preserve"/>
      </w:r>
    </w:p>
    <w:p>
      <w:pPr>
        <w:pStyle w:val="Heading1"/>
        <w:pageBreakBefore/>
        <w:pBdr>
          <w:bottom w:val="single" w:color="0D7377" w:sz="8" w:space="6"/>
        </w:pBdr>
        <w:spacing w:before="0" w:after="200"/>
      </w:pPr>
      <w:bookmarkStart w:name="testing" w:id="1"/>
      <w:r>
        <w:rPr>
          <w:rFonts w:ascii="Arial" w:cs="Arial" w:eastAsia="Arial" w:hAnsi="Arial"/>
          <w:b/>
          <w:bCs/>
          <w:color w:val="1B2A4A"/>
          <w:sz w:val="36"/>
          <w:szCs w:val="36"/>
        </w:rPr>
        <w:t xml:space="preserve">Testing Strategy</w:t>
      </w:r>
      <w:bookmarkEnd w:id="1"/>
    </w:p>
    <w:p>
      <w:pPr>
        <w:spacing w:before="60" w:after="100"/>
        <w:jc w:val="left"/>
      </w:pPr>
      <w:r>
        <w:rPr>
          <w:rFonts w:ascii="Arial" w:cs="Arial" w:eastAsia="Arial" w:hAnsi="Arial"/>
          <w:b w:val="false"/>
          <w:bCs w:val="false"/>
          <w:i w:val="false"/>
          <w:iCs w:val="false"/>
          <w:color w:val="4A5568"/>
          <w:sz w:val="22"/>
          <w:szCs w:val="22"/>
        </w:rPr>
        <w:t xml:space="preserve">Every module must have a pytest test suite that runs without real API keys. Integration tests against real APIs run separately and require keys. The goal: zero fragile tests that break because an API changed its response format.</w:t>
      </w:r>
    </w:p>
    <w:p>
      <w:pPr>
        <w:spacing w:before="120" w:after="0"/>
      </w:pPr>
      <w:r>
        <w:t xml:space="preserve"/>
      </w:r>
    </w:p>
    <w:p>
      <w:pPr>
        <w:pStyle w:val="Heading2"/>
        <w:spacing w:before="300" w:after="120"/>
      </w:pPr>
      <w:bookmarkStart w:name="test-file-organization" w:id="1"/>
      <w:r>
        <w:rPr>
          <w:rFonts w:ascii="Arial" w:cs="Arial" w:eastAsia="Arial" w:hAnsi="Arial"/>
          <w:b/>
          <w:bCs/>
          <w:color w:val="1B2A4A"/>
          <w:sz w:val="28"/>
          <w:szCs w:val="28"/>
        </w:rPr>
        <w:t xml:space="preserve">Test File Organization</w:t>
      </w:r>
      <w:bookmarkEnd w:id="1"/>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160"/>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Test File</w:t>
            </w:r>
          </w:p>
        </w:tc>
        <w:tc>
          <w:tcPr>
            <w:tcW w:type="dxa" w:w="4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Coverage</w:t>
            </w:r>
          </w:p>
        </w:tc>
        <w:tc>
          <w:tcPr>
            <w:tcW w:type="dxa" w:w="21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Requires API Keys?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test_parser.py</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SPF/DKIM/DMARC parsing, Received chain walking, Reply-To mismatch, .msg parsing</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No — uses DNS mocking</w:t>
            </w:r>
          </w:p>
        </w:tc>
      </w:tr>
      <w:tr>
        <w:tc>
          <w:tcPr>
            <w:tcW w:type="dxa" w:w="24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test_extractor.py</w:t>
            </w:r>
          </w:p>
        </w:tc>
        <w:tc>
          <w:tcPr>
            <w:tcW w:type="dxa" w:w="4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Defanged IOC extraction, anchor text trap, PDF URL extraction, homograph detection</w:t>
            </w:r>
          </w:p>
        </w:tc>
        <w:tc>
          <w:tcPr>
            <w:tcW w:type="dxa" w:w="21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No</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test_scanner.py</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YARA rule compilation, EICAR test string matching, archive decompression, VBA extraction</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No</w:t>
            </w:r>
          </w:p>
        </w:tc>
      </w:tr>
      <w:tr>
        <w:tc>
          <w:tcPr>
            <w:tcW w:type="dxa" w:w="24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test_enricher.py</w:t>
            </w:r>
          </w:p>
        </w:tc>
        <w:tc>
          <w:tcPr>
            <w:tcW w:type="dxa" w:w="4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Cache hit/miss logic, deduplication, rate limit semaphore behavior, API response parsing</w:t>
            </w:r>
          </w:p>
        </w:tc>
        <w:tc>
          <w:tcPr>
            <w:tcW w:type="dxa" w:w="21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No — uses mocked HTTP</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test_scorer.py</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Each of 17 signals fires correctly, weighted sum calculation, verdict threshold mapping</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No</w:t>
            </w:r>
          </w:p>
        </w:tc>
      </w:tr>
      <w:tr>
        <w:tc>
          <w:tcPr>
            <w:tcW w:type="dxa" w:w="24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test_reporter.py</w:t>
            </w:r>
          </w:p>
        </w:tc>
        <w:tc>
          <w:tcPr>
            <w:tcW w:type="dxa" w:w="4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JSON schema validation, HTML report structure, STIX 2.1 bundle validity</w:t>
            </w:r>
          </w:p>
        </w:tc>
        <w:tc>
          <w:tcPr>
            <w:tcW w:type="dxa" w:w="21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No</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test_integration.py</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Full pipeline end-to-end with real .eml samples from tests/samples/</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Optional — skipped if no keys</w:t>
            </w:r>
          </w:p>
        </w:tc>
      </w:tr>
      <w:tr>
        <w:tc>
          <w:tcPr>
            <w:tcW w:type="dxa" w:w="24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test_mcp.py</w:t>
            </w:r>
          </w:p>
        </w:tc>
        <w:tc>
          <w:tcPr>
            <w:tcW w:type="dxa" w:w="4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MCP tool schemas, invocation with sample inputs, structured output validation</w:t>
            </w:r>
          </w:p>
        </w:tc>
        <w:tc>
          <w:tcPr>
            <w:tcW w:type="dxa" w:w="21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No</w:t>
            </w:r>
          </w:p>
        </w:tc>
      </w:tr>
    </w:tbl>
    <w:p>
      <w:pPr>
        <w:spacing w:before="160" w:after="0"/>
      </w:pPr>
      <w:r>
        <w:t xml:space="preserve"/>
      </w:r>
    </w:p>
    <w:p>
      <w:pPr>
        <w:pStyle w:val="Heading2"/>
        <w:spacing w:before="300" w:after="120"/>
      </w:pPr>
      <w:bookmarkStart w:name="required-test-.eml-samples" w:id="1"/>
      <w:r>
        <w:rPr>
          <w:rFonts w:ascii="Arial" w:cs="Arial" w:eastAsia="Arial" w:hAnsi="Arial"/>
          <w:b/>
          <w:bCs/>
          <w:color w:val="1B2A4A"/>
          <w:sz w:val="28"/>
          <w:szCs w:val="28"/>
        </w:rPr>
        <w:t xml:space="preserve">Required Test .eml Samples</w:t>
      </w:r>
      <w:bookmarkEnd w:id="1"/>
    </w:p>
    <w:p>
      <w:pPr>
        <w:spacing w:before="60" w:after="100"/>
        <w:jc w:val="left"/>
      </w:pPr>
      <w:r>
        <w:rPr>
          <w:rFonts w:ascii="Arial" w:cs="Arial" w:eastAsia="Arial" w:hAnsi="Arial"/>
          <w:b w:val="false"/>
          <w:bCs w:val="false"/>
          <w:i w:val="false"/>
          <w:iCs w:val="false"/>
          <w:color w:val="4A5568"/>
          <w:sz w:val="22"/>
          <w:szCs w:val="22"/>
        </w:rPr>
        <w:t xml:space="preserve">The tests/samples/ directory must include safe, non-harmful test emails covering each category. Source: PhishTank open samples, OpenPhish, and synthetically generated files.</w:t>
      </w:r>
    </w:p>
    <w:p>
      <w:pPr>
        <w:spacing w:before="80" w:after="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160"/>
      </w:tblGrid>
      <w:tr>
        <w:trPr>
          <w:tblHeader/>
        </w:trPr>
        <w:tc>
          <w:tcPr>
            <w:tcW w:type="dxa" w:w="3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Filename</w:t>
            </w:r>
          </w:p>
        </w:tc>
        <w:tc>
          <w:tcPr>
            <w:tcW w:type="dxa" w:w="3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What It Tests</w:t>
            </w:r>
          </w:p>
        </w:tc>
        <w:tc>
          <w:tcPr>
            <w:tcW w:type="dxa" w:w="21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Expected Verdict</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spf_fail_dmarc_fail.eml</w:t>
            </w:r>
          </w:p>
        </w:tc>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SPF hardfail + DMARC fail signals</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SUSPICIOUS or higher</w:t>
            </w:r>
          </w:p>
        </w:tc>
      </w:tr>
      <w:tr>
        <w:tc>
          <w:tcPr>
            <w:tcW w:type="dxa" w:w="3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reply_to_mismatch.eml</w:t>
            </w:r>
          </w:p>
        </w:tc>
        <w:tc>
          <w:tcPr>
            <w:tcW w:type="dxa" w:w="38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From/Reply-To domain mismatch signal</w:t>
            </w:r>
          </w:p>
        </w:tc>
        <w:tc>
          <w:tcPr>
            <w:tcW w:type="dxa" w:w="21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SUSPICIOUS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yara_phishing_kit.eml</w:t>
            </w:r>
          </w:p>
        </w:tc>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Attachment matching phishing kit YARA rule</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LIKELY_PHISHING</w:t>
            </w:r>
          </w:p>
        </w:tc>
      </w:tr>
      <w:tr>
        <w:tc>
          <w:tcPr>
            <w:tcW w:type="dxa" w:w="3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vba_macro_word.eml</w:t>
            </w:r>
          </w:p>
        </w:tc>
        <w:tc>
          <w:tcPr>
            <w:tcW w:type="dxa" w:w="38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Word attachment with VBA AutoOpen macro</w:t>
            </w:r>
          </w:p>
        </w:tc>
        <w:tc>
          <w:tcPr>
            <w:tcW w:type="dxa" w:w="21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LIKELY_PHISHING</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pdf_with_javascript.eml</w:t>
            </w:r>
          </w:p>
        </w:tc>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PDF with /JS and /OpenAction elements</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LIKELY_PHISHING</w:t>
            </w:r>
          </w:p>
        </w:tc>
      </w:tr>
      <w:tr>
        <w:tc>
          <w:tcPr>
            <w:tcW w:type="dxa" w:w="3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homograph_domain.eml</w:t>
            </w:r>
          </w:p>
        </w:tc>
        <w:tc>
          <w:tcPr>
            <w:tcW w:type="dxa" w:w="38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Cyrillic character in sender domain</w:t>
            </w:r>
          </w:p>
        </w:tc>
        <w:tc>
          <w:tcPr>
            <w:tcW w:type="dxa" w:w="21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SUSPICIOUS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clean_legitimate.eml</w:t>
            </w:r>
          </w:p>
        </w:tc>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Known good email — all signals pass</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CLEAN</w:t>
            </w:r>
          </w:p>
        </w:tc>
      </w:tr>
      <w:tr>
        <w:tc>
          <w:tcPr>
            <w:tcW w:type="dxa" w:w="3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defanged_iocs_body.eml</w:t>
            </w:r>
          </w:p>
        </w:tc>
        <w:tc>
          <w:tcPr>
            <w:tcW w:type="dxa" w:w="38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Body with hxxps:// and [.] defanged URLs</w:t>
            </w:r>
          </w:p>
        </w:tc>
        <w:tc>
          <w:tcPr>
            <w:tcW w:type="dxa" w:w="21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Tests extractor only</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nested_zip_attachment.eml</w:t>
            </w:r>
          </w:p>
        </w:tc>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ZIP containing ZIP containing exe</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CONFIRMED_MALICIOUS</w:t>
            </w:r>
          </w:p>
        </w:tc>
      </w:tr>
      <w:tr>
        <w:tc>
          <w:tcPr>
            <w:tcW w:type="dxa" w:w="3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new_domain_vt_clean.eml</w:t>
            </w:r>
          </w:p>
        </w:tc>
        <w:tc>
          <w:tcPr>
            <w:tcW w:type="dxa" w:w="38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Day-1 phishing domain, zero VT detections</w:t>
            </w:r>
          </w:p>
        </w:tc>
        <w:tc>
          <w:tcPr>
            <w:tcW w:type="dxa" w:w="21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Tests zero-day coverage</w:t>
            </w:r>
          </w:p>
        </w:tc>
      </w:tr>
    </w:tbl>
    <w:p>
      <w:pPr>
        <w:spacing w:before="200" w:after="0"/>
      </w:pPr>
      <w:r>
        <w:t xml:space="preserve"/>
      </w:r>
    </w:p>
    <w:p>
      <w:pPr>
        <w:pStyle w:val="Heading1"/>
        <w:pageBreakBefore/>
        <w:pBdr>
          <w:bottom w:val="single" w:color="0D7377" w:sz="8" w:space="6"/>
        </w:pBdr>
        <w:spacing w:before="0" w:after="200"/>
      </w:pPr>
      <w:bookmarkStart w:name="setup" w:id="1"/>
      <w:r>
        <w:rPr>
          <w:rFonts w:ascii="Arial" w:cs="Arial" w:eastAsia="Arial" w:hAnsi="Arial"/>
          <w:b/>
          <w:bCs/>
          <w:color w:val="1B2A4A"/>
          <w:sz w:val="36"/>
          <w:szCs w:val="36"/>
        </w:rPr>
        <w:t xml:space="preserve">Dependencies &amp; Setup</w:t>
      </w:r>
      <w:bookmarkEnd w:id="1"/>
    </w:p>
    <w:p>
      <w:pPr>
        <w:pStyle w:val="Heading2"/>
        <w:spacing w:before="300" w:after="120"/>
      </w:pPr>
      <w:bookmarkStart w:name="full-dependency-installation" w:id="1"/>
      <w:r>
        <w:rPr>
          <w:rFonts w:ascii="Arial" w:cs="Arial" w:eastAsia="Arial" w:hAnsi="Arial"/>
          <w:b/>
          <w:bCs/>
          <w:color w:val="1B2A4A"/>
          <w:sz w:val="28"/>
          <w:szCs w:val="28"/>
        </w:rPr>
        <w:t xml:space="preserve">Full Dependency Installation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827" w:val="clear"/>
            <w:tcMar>
              <w:top w:type="dxa" w:w="80"/>
              <w:left w:type="dxa" w:w="160"/>
              <w:bottom w:type="dxa" w:w="0"/>
              <w:right w:type="dxa" w:w="160"/>
            </w:tcMar>
          </w:tcPr>
          <w:p>
            <w:pPr>
              <w:spacing w:before="0" w:after="0"/>
            </w:pPr>
            <w:r>
              <w:rPr>
                <w:rFonts w:ascii="Courier New" w:cs="Courier New" w:eastAsia="Courier New" w:hAnsi="Courier New"/>
                <w:color w:val="6B7280"/>
                <w:sz w:val="17"/>
                <w:szCs w:val="17"/>
              </w:rPr>
              <w:t xml:space="preserve">lure/</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Create virtual environment</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python -m venv .venv &amp;&amp; source .venv/bin/activate</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Install all Lure dependencies</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pip install \</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mail-parser extract-msg \</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pyspf dkimpy checkdmarc dnspython \</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iocextract iocsearcher ioc-fanger \</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beautifulsoup4 pdfplumber python-docx "oletools[full]" \</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urlextract tldextract \</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yara-python yara-mail \</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python-magic py7zr rarfile \</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vt-py shodan OTXv2 ipwhois python-whois \</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stix2 pymisp thehive4py cortex4py \</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aiohttp httpx instructor ollama \</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typer rich weasyprint jinja2 \</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pydantic pydantic-settings python-dotenv \</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pytest pytest-asyncio pytest-httpx</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Install system dependency for rarfile (macOS: brew install unar)</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sudo apt-get install unrar  # Ubuntu</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 Download YARA rules</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git clone https://github.com/Neo23x0/signature-base rules/signature-base</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git clone https://github.com/InQuest/yara-rules rules/inquest</w:t>
            </w:r>
          </w:p>
        </w:tc>
      </w:tr>
      <w:tr>
        <w:tc>
          <w:tcPr>
            <w:tcW w:type="dxa" w:w="9360"/>
            <w:tcBorders>
              <w:top w:val="none" w:color="FFFFFF" w:sz="0"/>
              <w:left w:val="none" w:color="FFFFFF" w:sz="0"/>
              <w:bottom w:val="none" w:color="FFFFFF" w:sz="0"/>
              <w:right w:val="none" w:color="FFFFFF" w:sz="0"/>
            </w:tcBorders>
            <w:shd w:fill="1E2A3A" w:val="clear"/>
            <w:tcMar>
              <w:top w:type="dxa" w:w="20"/>
              <w:left w:type="dxa" w:w="160"/>
              <w:bottom w:type="dxa" w:w="20"/>
              <w:right w:type="dxa" w:w="160"/>
            </w:tcMar>
          </w:tcPr>
          <w:p>
            <w:pPr>
              <w:spacing w:before="0" w:after="0"/>
            </w:pPr>
            <w:r>
              <w:rPr>
                <w:rFonts w:ascii="Courier New" w:cs="Courier New" w:eastAsia="Courier New" w:hAnsi="Courier New"/>
                <w:color w:val="9FDFAF"/>
                <w:sz w:val="18"/>
                <w:szCs w:val="18"/>
              </w:rPr>
              <w:t xml:space="preserve">git clone https://github.com/reversinglabs/reversinglabs-yara-rules rules/reversinglabs</w:t>
            </w:r>
          </w:p>
        </w:tc>
      </w:tr>
      <w:tr>
        <w:tc>
          <w:tcPr>
            <w:tcW w:type="dxa" w:w="9360"/>
            <w:tcBorders>
              <w:top w:val="none" w:color="FFFFFF" w:sz="0"/>
              <w:left w:val="none" w:color="FFFFFF" w:sz="0"/>
              <w:bottom w:val="none" w:color="FFFFFF" w:sz="0"/>
              <w:right w:val="none" w:color="FFFFFF" w:sz="0"/>
            </w:tcBorders>
            <w:shd w:fill="1E2A3A" w:val="clear"/>
            <w:tcMar>
              <w:top w:type="dxa" w:w="10"/>
              <w:left w:type="dxa" w:w="160"/>
              <w:bottom w:type="dxa" w:w="10"/>
              <w:right w:type="dxa" w:w="160"/>
            </w:tcMar>
          </w:tcPr>
          <w:p>
            <w:pPr>
              <w:spacing w:before="0" w:after="0"/>
            </w:pPr>
            <w:r>
              <w:t xml:space="preserve"/>
            </w:r>
          </w:p>
        </w:tc>
      </w:tr>
    </w:tbl>
    <w:p>
      <w:pPr>
        <w:spacing w:before="160" w:after="0"/>
      </w:pPr>
      <w:r>
        <w:t xml:space="preserve"/>
      </w:r>
    </w:p>
    <w:p>
      <w:pPr>
        <w:pStyle w:val="Heading2"/>
        <w:spacing w:before="300" w:after="120"/>
      </w:pPr>
      <w:bookmarkStart w:name="required-api-keys-(.env)" w:id="1"/>
      <w:r>
        <w:rPr>
          <w:rFonts w:ascii="Arial" w:cs="Arial" w:eastAsia="Arial" w:hAnsi="Arial"/>
          <w:b/>
          <w:bCs/>
          <w:color w:val="1B2A4A"/>
          <w:sz w:val="28"/>
          <w:szCs w:val="28"/>
        </w:rPr>
        <w:t xml:space="preserve">Required API Keys (.env)</w:t>
      </w:r>
      <w:bookmarkEnd w:id="1"/>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160"/>
      </w:tblGrid>
      <w:tr>
        <w:trPr>
          <w:tblHeader/>
        </w:trPr>
        <w:tc>
          <w:tcPr>
            <w:tcW w:type="dxa" w:w="2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Variable</w:t>
            </w:r>
          </w:p>
        </w:tc>
        <w:tc>
          <w:tcPr>
            <w:tcW w:type="dxa" w:w="2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Service</w:t>
            </w:r>
          </w:p>
        </w:tc>
        <w:tc>
          <w:tcPr>
            <w:tcW w:type="dxa" w:w="1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Free Tier</w:t>
            </w:r>
          </w:p>
        </w:tc>
        <w:tc>
          <w:tcPr>
            <w:tcW w:type="dxa" w:w="31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Get Key At</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VT_API_KEY</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VirusTotal v3</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4 req/min, 500/day</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virustotal.com/gui/sign-in</w:t>
            </w:r>
          </w:p>
        </w:tc>
      </w:tr>
      <w:tr>
        <w:tc>
          <w:tcPr>
            <w:tcW w:type="dxa" w:w="22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ABUSEIPDB_KEY</w:t>
            </w:r>
          </w:p>
        </w:tc>
        <w:tc>
          <w:tcPr>
            <w:tcW w:type="dxa" w:w="2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AbuseIPDB v2</w:t>
            </w:r>
          </w:p>
        </w:tc>
        <w:tc>
          <w:tcPr>
            <w:tcW w:type="dxa" w:w="18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1,000 req/day</w:t>
            </w:r>
          </w:p>
        </w:tc>
        <w:tc>
          <w:tcPr>
            <w:tcW w:type="dxa" w:w="31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abuseipdb.com/account/api</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SHODAN_API_KEY</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Shodan</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100 queries/month</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account.shodan.io</w:t>
            </w:r>
          </w:p>
        </w:tc>
      </w:tr>
      <w:tr>
        <w:tc>
          <w:tcPr>
            <w:tcW w:type="dxa" w:w="22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URLSCAN_KEY</w:t>
            </w:r>
          </w:p>
        </w:tc>
        <w:tc>
          <w:tcPr>
            <w:tcW w:type="dxa" w:w="2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urlscan.io</w:t>
            </w:r>
          </w:p>
        </w:tc>
        <w:tc>
          <w:tcPr>
            <w:tcW w:type="dxa" w:w="18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1,000 private scans/day</w:t>
            </w:r>
          </w:p>
        </w:tc>
        <w:tc>
          <w:tcPr>
            <w:tcW w:type="dxa" w:w="31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urlscan.io/user/signup</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OTX_KEY</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AlienVault OTX</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Unlimited</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otx.alienvault.com</w:t>
            </w:r>
          </w:p>
        </w:tc>
      </w:tr>
      <w:tr>
        <w:tc>
          <w:tcPr>
            <w:tcW w:type="dxa" w:w="22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PHISHTANK_KEY</w:t>
            </w:r>
          </w:p>
        </w:tc>
        <w:tc>
          <w:tcPr>
            <w:tcW w:type="dxa" w:w="2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PhishTank</w:t>
            </w:r>
          </w:p>
        </w:tc>
        <w:tc>
          <w:tcPr>
            <w:tcW w:type="dxa" w:w="18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1,000 req/day</w:t>
            </w:r>
          </w:p>
        </w:tc>
        <w:tc>
          <w:tcPr>
            <w:tcW w:type="dxa" w:w="31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phishtank.org/api_register</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GSB_KEY</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Google Safe Browsing v4</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10,000 req/day</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console.cloud.google.com</w:t>
            </w:r>
          </w:p>
        </w:tc>
      </w:tr>
      <w:tr>
        <w:tc>
          <w:tcPr>
            <w:tcW w:type="dxa" w:w="22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THEHIVE_URL</w:t>
            </w:r>
          </w:p>
        </w:tc>
        <w:tc>
          <w:tcPr>
            <w:tcW w:type="dxa" w:w="2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TheHive instance URL</w:t>
            </w:r>
          </w:p>
        </w:tc>
        <w:tc>
          <w:tcPr>
            <w:tcW w:type="dxa" w:w="18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Self-hosted</w:t>
            </w:r>
          </w:p>
        </w:tc>
        <w:tc>
          <w:tcPr>
            <w:tcW w:type="dxa" w:w="31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github.com/TheHive-Project/TheHive</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THEHIVE_KEY</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TheHive API key</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Self-hosted</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(TheHive admin settings)</w:t>
            </w:r>
          </w:p>
        </w:tc>
      </w:tr>
      <w:tr>
        <w:tc>
          <w:tcPr>
            <w:tcW w:type="dxa" w:w="22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MISP_URL</w:t>
            </w:r>
          </w:p>
        </w:tc>
        <w:tc>
          <w:tcPr>
            <w:tcW w:type="dxa" w:w="2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MISP instance URL</w:t>
            </w:r>
          </w:p>
        </w:tc>
        <w:tc>
          <w:tcPr>
            <w:tcW w:type="dxa" w:w="18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Self-hosted</w:t>
            </w:r>
          </w:p>
        </w:tc>
        <w:tc>
          <w:tcPr>
            <w:tcW w:type="dxa" w:w="31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github.com/MISP/MISP</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MISP_KEY</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MISP authkey</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Self-hosted</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(MISP user profile)</w:t>
            </w:r>
          </w:p>
        </w:tc>
      </w:tr>
      <w:tr>
        <w:tc>
          <w:tcPr>
            <w:tcW w:type="dxa" w:w="22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OLLAMA_URL</w:t>
            </w:r>
          </w:p>
        </w:tc>
        <w:tc>
          <w:tcPr>
            <w:tcW w:type="dxa" w:w="2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Local Ollama server</w:t>
            </w:r>
          </w:p>
        </w:tc>
        <w:tc>
          <w:tcPr>
            <w:tcW w:type="dxa" w:w="18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Free (local)</w:t>
            </w:r>
          </w:p>
        </w:tc>
        <w:tc>
          <w:tcPr>
            <w:tcW w:type="dxa" w:w="31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ollama.ai — bind to localhost only</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6"/>
              <w:bottom w:val="single" w:color="C0392B" w:sz="1"/>
              <w:right w:val="single" w:color="C0392B" w:sz="1"/>
            </w:tcBorders>
            <w:shd w:fill="FDEDEC" w:val="clear"/>
            <w:tcMar>
              <w:top w:type="dxa" w:w="120"/>
              <w:left w:type="dxa" w:w="200"/>
              <w:bottom w:type="dxa" w:w="120"/>
              <w:right w:type="dxa" w:w="160"/>
            </w:tcMar>
          </w:tcPr>
          <w:p>
            <w:pPr>
              <w:spacing w:before="0" w:after="60"/>
            </w:pPr>
            <w:r>
              <w:rPr>
                <w:rFonts w:ascii="Arial" w:cs="Arial" w:eastAsia="Arial" w:hAnsi="Arial"/>
                <w:b/>
                <w:bCs/>
                <w:caps/>
                <w:color w:val="C0392B"/>
                <w:sz w:val="20"/>
                <w:szCs w:val="20"/>
              </w:rPr>
              <w:t xml:space="preserve">Security Note — Ollama Exposure</w:t>
            </w:r>
          </w:p>
          <w:p>
            <w:pPr>
              <w:spacing w:before="0" w:after="0"/>
            </w:pPr>
            <w:r>
              <w:rPr>
                <w:rFonts w:ascii="Arial" w:cs="Arial" w:eastAsia="Arial" w:hAnsi="Arial"/>
                <w:color w:val="4A5568"/>
                <w:sz w:val="21"/>
                <w:szCs w:val="21"/>
              </w:rPr>
              <w:t xml:space="preserve">Ollama binds to 0.0.0.0:11434 by default. Cisco Talos identified 1,100+ publicly exposed Ollama servers in September 2025. Always configure Ollama to bind only to 127.0.0.1. Set OLLAMA_HOST=127.0.0.1 in your Ollama service configuration before starting the server.</w:t>
            </w:r>
          </w:p>
        </w:tc>
      </w:tr>
    </w:tbl>
    <w:p>
      <w:pPr>
        <w:spacing w:before="200" w:after="0"/>
      </w:pPr>
      <w:r>
        <w:t xml:space="preserve"/>
      </w:r>
    </w:p>
    <w:p>
      <w:pPr>
        <w:pStyle w:val="Heading1"/>
        <w:pageBreakBefore/>
        <w:pBdr>
          <w:bottom w:val="single" w:color="0D7377" w:sz="8" w:space="6"/>
        </w:pBdr>
        <w:spacing w:before="0" w:after="200"/>
      </w:pPr>
      <w:bookmarkStart w:name="positioning" w:id="1"/>
      <w:r>
        <w:rPr>
          <w:rFonts w:ascii="Arial" w:cs="Arial" w:eastAsia="Arial" w:hAnsi="Arial"/>
          <w:b/>
          <w:bCs/>
          <w:color w:val="1B2A4A"/>
          <w:sz w:val="36"/>
          <w:szCs w:val="36"/>
        </w:rPr>
        <w:t xml:space="preserve">Portfolio Positioning &amp; Differentiation</w:t>
      </w:r>
      <w:bookmarkEnd w:id="1"/>
    </w:p>
    <w:p>
      <w:pPr>
        <w:spacing w:before="60" w:after="100"/>
        <w:jc w:val="left"/>
      </w:pPr>
      <w:r>
        <w:rPr>
          <w:rFonts w:ascii="Arial" w:cs="Arial" w:eastAsia="Arial" w:hAnsi="Arial"/>
          <w:b w:val="false"/>
          <w:bCs w:val="false"/>
          <w:i w:val="false"/>
          <w:iCs w:val="false"/>
          <w:color w:val="4A5568"/>
          <w:sz w:val="22"/>
          <w:szCs w:val="22"/>
        </w:rPr>
        <w:t xml:space="preserve">Lure fills a genuine gap in the Fevra Security portfolio — it is the only defensive tool in the set, providing direct evidence of blue team and SOC engineering capability alongside the offensive/analysis tools.</w:t>
      </w:r>
    </w:p>
    <w:p>
      <w:pPr>
        <w:spacing w:before="120" w:after="0"/>
      </w:pPr>
      <w:r>
        <w:t xml:space="preserve"/>
      </w:r>
    </w:p>
    <w:p>
      <w:pPr>
        <w:pStyle w:val="Heading2"/>
        <w:spacing w:before="300" w:after="120"/>
      </w:pPr>
      <w:bookmarkStart w:name="what-makes-lure-differentiated" w:id="1"/>
      <w:r>
        <w:rPr>
          <w:rFonts w:ascii="Arial" w:cs="Arial" w:eastAsia="Arial" w:hAnsi="Arial"/>
          <w:b/>
          <w:bCs/>
          <w:color w:val="1B2A4A"/>
          <w:sz w:val="28"/>
          <w:szCs w:val="28"/>
        </w:rPr>
        <w:t xml:space="preserve">What Makes Lure Differentiated</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Differentiator</w:t>
            </w:r>
          </w:p>
        </w:tc>
        <w:tc>
          <w:tcPr>
            <w:tcW w:type="dxa" w:w="2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Most Tools Do This?</w:t>
            </w:r>
          </w:p>
        </w:tc>
        <w:tc>
          <w:tcPr>
            <w:tcW w:type="dxa" w:w="43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Lure's Approach</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DOM-level phishing kit detection</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No — most check URL blocklists only</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urlscan.io DOM analysis detects credential forms regardless of VT reputation</w:t>
            </w:r>
          </w:p>
        </w:tc>
      </w:tr>
      <w:tr>
        <w:tc>
          <w:tcPr>
            <w:tcW w:type="dxa" w:w="28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Zero-day window coverage</w:t>
            </w:r>
          </w:p>
        </w:tc>
        <w:tc>
          <w:tcPr>
            <w:tcW w:type="dxa" w:w="22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No — most stop at VT</w:t>
            </w:r>
          </w:p>
        </w:tc>
        <w:tc>
          <w:tcPr>
            <w:tcW w:type="dxa" w:w="43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Domain age + urlscan + GSB covers the 24–72h window before VT detection</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LLM verdict explanation</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No</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Ollama + Instructor produces analyst-readable summary with attack scenario classification</w:t>
            </w:r>
          </w:p>
        </w:tc>
      </w:tr>
      <w:tr>
        <w:tc>
          <w:tcPr>
            <w:tcW w:type="dxa" w:w="28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Campaign correlation</w:t>
            </w:r>
          </w:p>
        </w:tc>
        <w:tc>
          <w:tcPr>
            <w:tcW w:type="dxa" w:w="22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No open-source tool does this</w:t>
            </w:r>
          </w:p>
        </w:tc>
        <w:tc>
          <w:tcPr>
            <w:tcW w:type="dxa" w:w="43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Jaccard similarity across IOC sets links related emails into campaigns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Static detonation without sandbox</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Partial</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olevba + pdfid gives 80% of sandbox signal at zero infrastructure cost</w:t>
            </w:r>
          </w:p>
        </w:tc>
      </w:tr>
      <w:tr>
        <w:tc>
          <w:tcPr>
            <w:tcW w:type="dxa" w:w="28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MCP server exposure</w:t>
            </w:r>
          </w:p>
        </w:tc>
        <w:tc>
          <w:tcPr>
            <w:tcW w:type="dxa" w:w="22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No security tool currently does this</w:t>
            </w:r>
          </w:p>
        </w:tc>
        <w:tc>
          <w:tcPr>
            <w:tcW w:type="dxa" w:w="43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Claude Code and other agents can call Lure as a tool in automated workflows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Configurable scoring weights</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No</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scoring.yaml lets each SOC team tune signal weights for their threat model</w:t>
            </w:r>
          </w:p>
        </w:tc>
      </w:tr>
      <w:tr>
        <w:tc>
          <w:tcPr>
            <w:tcW w:type="dxa" w:w="28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Graceful API degradation</w:t>
            </w:r>
          </w:p>
        </w:tc>
        <w:tc>
          <w:tcPr>
            <w:tcW w:type="dxa" w:w="22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Partial</w:t>
            </w:r>
          </w:p>
        </w:tc>
        <w:tc>
          <w:tcPr>
            <w:tcW w:type="dxa" w:w="43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Missing API keys produce warnings, not crashes — designed for key-by-key rollout</w:t>
            </w:r>
          </w:p>
        </w:tc>
      </w:tr>
    </w:tbl>
    <w:p>
      <w:pPr>
        <w:spacing w:before="160" w:after="0"/>
      </w:pPr>
      <w:r>
        <w:t xml:space="preserve"/>
      </w:r>
    </w:p>
    <w:p>
      <w:pPr>
        <w:pStyle w:val="Heading2"/>
        <w:spacing w:before="300" w:after="120"/>
      </w:pPr>
      <w:bookmarkStart w:name="resume-/-portfolio-entry" w:id="1"/>
      <w:r>
        <w:rPr>
          <w:rFonts w:ascii="Arial" w:cs="Arial" w:eastAsia="Arial" w:hAnsi="Arial"/>
          <w:b/>
          <w:bCs/>
          <w:color w:val="1B2A4A"/>
          <w:sz w:val="28"/>
          <w:szCs w:val="28"/>
        </w:rPr>
        <w:t xml:space="preserve">Resume / Portfolio Entry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6"/>
              <w:bottom w:val="single" w:color="1B2A4A" w:sz="1"/>
              <w:right w:val="single" w:color="1B2A4A" w:sz="1"/>
            </w:tcBorders>
            <w:shd w:fill="EEF2F8" w:val="clear"/>
            <w:tcMar>
              <w:top w:type="dxa" w:w="120"/>
              <w:left w:type="dxa" w:w="200"/>
              <w:bottom w:type="dxa" w:w="120"/>
              <w:right w:type="dxa" w:w="160"/>
            </w:tcMar>
          </w:tcPr>
          <w:p>
            <w:pPr>
              <w:spacing w:before="0" w:after="60"/>
            </w:pPr>
            <w:r>
              <w:rPr>
                <w:rFonts w:ascii="Arial" w:cs="Arial" w:eastAsia="Arial" w:hAnsi="Arial"/>
                <w:b/>
                <w:bCs/>
                <w:caps/>
                <w:color w:val="1B2A4A"/>
                <w:sz w:val="20"/>
                <w:szCs w:val="20"/>
              </w:rPr>
              <w:t xml:space="preserve">Suggested Portfolio Description</w:t>
            </w:r>
          </w:p>
          <w:p>
            <w:pPr>
              <w:spacing w:before="0" w:after="0"/>
            </w:pPr>
            <w:r>
              <w:rPr>
                <w:rFonts w:ascii="Arial" w:cs="Arial" w:eastAsia="Arial" w:hAnsi="Arial"/>
                <w:color w:val="4A5568"/>
                <w:sz w:val="21"/>
                <w:szCs w:val="21"/>
              </w:rPr>
              <w:t xml:space="preserve">Lure — Phishing Analysis &amp; IOC Extraction Platform: Built a production-grade phishing triage platform targeting L1/L2 SOC analyst workflows. Implements a six-stage async pipeline: MIME parsing with SPF/DKIM/DMARC validation, multi-surface IOC extraction with defang handling, YARA attachment scanning against Neo23x0/signature-base and InQuest/yara-rules, concurrent enrichment against VirusTotal v3, AbuseIPDB, Shodan, and urlscan.io with SQLite caching, weighted signal scoring engine with configurable 17-signal model, and output in JSON, HTML, STIX 2.1, TheHive, and MISP. Integrated local LLM (Ollama/qwen2.5) for analyst-readable verdict explanations. Exposed as MCP tools for agentic SOC automation.</w:t>
            </w:r>
          </w:p>
        </w:tc>
      </w:tr>
    </w:tbl>
    <w:p>
      <w:pPr>
        <w:spacing w:before="200" w:after="0"/>
      </w:pPr>
      <w:r>
        <w:t xml:space="preserve"/>
      </w:r>
    </w:p>
    <w:p>
      <w:pPr>
        <w:pStyle w:val="Heading1"/>
        <w:pageBreakBefore/>
        <w:pBdr>
          <w:bottom w:val="single" w:color="0D7377" w:sz="8" w:space="6"/>
        </w:pBdr>
        <w:spacing w:before="0" w:after="200"/>
      </w:pPr>
      <w:bookmarkStart w:name="risks" w:id="1"/>
      <w:r>
        <w:rPr>
          <w:rFonts w:ascii="Arial" w:cs="Arial" w:eastAsia="Arial" w:hAnsi="Arial"/>
          <w:b/>
          <w:bCs/>
          <w:color w:val="1B2A4A"/>
          <w:sz w:val="36"/>
          <w:szCs w:val="36"/>
        </w:rPr>
        <w:t xml:space="preserve">Risk Log &amp; Mitigations</w:t>
      </w:r>
      <w:bookmarkEnd w:id="1"/>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gridCol w:w="4160"/>
      </w:tblGrid>
      <w:tr>
        <w:trPr>
          <w:tblHeader/>
        </w:trPr>
        <w:tc>
          <w:tcPr>
            <w:tcW w:type="dxa" w:w="2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Risk</w:t>
            </w:r>
          </w:p>
        </w:tc>
        <w:tc>
          <w:tcPr>
            <w:tcW w:type="dxa" w:w="1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Likelihood</w:t>
            </w:r>
          </w:p>
        </w:tc>
        <w:tc>
          <w:tcPr>
            <w:tcW w:type="dxa" w:w="1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Impact</w:t>
            </w:r>
          </w:p>
        </w:tc>
        <w:tc>
          <w:tcPr>
            <w:tcW w:type="dxa" w:w="41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Mitigation</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VT free tier exhausted during testing</w:t>
            </w:r>
          </w:p>
        </w:tc>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High</w:t>
            </w:r>
          </w:p>
        </w:tc>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Blocks enrichment development</w:t>
            </w:r>
          </w:p>
        </w:tc>
        <w:tc>
          <w:tcPr>
            <w:tcW w:type="dxa" w:w="4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Build cache first (Phase 3, Day 1). All tests use mocked HTTP responses.</w:t>
            </w:r>
          </w:p>
        </w:tc>
      </w:tr>
      <w:tr>
        <w:tc>
          <w:tcPr>
            <w:tcW w:type="dxa" w:w="26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YARA rule false positives from large rulesets</w:t>
            </w:r>
          </w:p>
        </w:tc>
        <w:tc>
          <w:tcPr>
            <w:tcW w:type="dxa" w:w="1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Medium</w:t>
            </w:r>
          </w:p>
        </w:tc>
        <w:tc>
          <w:tcPr>
            <w:tcW w:type="dxa" w:w="1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Low analyst trust in findings</w:t>
            </w:r>
          </w:p>
        </w:tc>
        <w:tc>
          <w:tcPr>
            <w:tcW w:type="dxa" w:w="41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Separate rule directories by confidence; log match rate per ruleset in tests.</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urlscan async polling timeout on slow scans</w:t>
            </w:r>
          </w:p>
        </w:tc>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Medium</w:t>
            </w:r>
          </w:p>
        </w:tc>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Missing DOM analysis results</w:t>
            </w:r>
          </w:p>
        </w:tc>
        <w:tc>
          <w:tcPr>
            <w:tcW w:type="dxa" w:w="4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Implement configurable timeout (default 60s) with graceful skip on timeout.</w:t>
            </w:r>
          </w:p>
        </w:tc>
      </w:tr>
      <w:tr>
        <w:tc>
          <w:tcPr>
            <w:tcW w:type="dxa" w:w="26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.msg format variants break extract-msg</w:t>
            </w:r>
          </w:p>
        </w:tc>
        <w:tc>
          <w:tcPr>
            <w:tcW w:type="dxa" w:w="1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Low</w:t>
            </w:r>
          </w:p>
        </w:tc>
        <w:tc>
          <w:tcPr>
            <w:tcW w:type="dxa" w:w="1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Fails on Outlook emails</w:t>
            </w:r>
          </w:p>
        </w:tc>
        <w:tc>
          <w:tcPr>
            <w:tcW w:type="dxa" w:w="41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Comprehensive test suite with multiple .msg format variants; fallback to raw header extraction.</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Ollama not installed or model not pulled</w:t>
            </w:r>
          </w:p>
        </w:tc>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Medium</w:t>
            </w:r>
          </w:p>
        </w:tc>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LLM features unavailable</w:t>
            </w:r>
          </w:p>
        </w:tc>
        <w:tc>
          <w:tcPr>
            <w:tcW w:type="dxa" w:w="4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LLM is always opt-in; --no-llm is the default if OLLAMA_URL is not set.</w:t>
            </w:r>
          </w:p>
        </w:tc>
      </w:tr>
      <w:tr>
        <w:tc>
          <w:tcPr>
            <w:tcW w:type="dxa" w:w="26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YARA compile errors from new rules in signature-base</w:t>
            </w:r>
          </w:p>
        </w:tc>
        <w:tc>
          <w:tcPr>
            <w:tcW w:type="dxa" w:w="1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Low</w:t>
            </w:r>
          </w:p>
        </w:tc>
        <w:tc>
          <w:tcPr>
            <w:tcW w:type="dxa" w:w="10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Scanner fails to start</w:t>
            </w:r>
          </w:p>
        </w:tc>
        <w:tc>
          <w:tcPr>
            <w:tcW w:type="dxa" w:w="41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Compile each ruleset independently; skip and log individual files that fail compilation.</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Phishing campaign uses HTTPS on compromised legitimate domain</w:t>
            </w:r>
          </w:p>
        </w:tc>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Medium</w:t>
            </w:r>
          </w:p>
        </w:tc>
        <w:tc>
          <w:tcPr>
            <w:tcW w:type="dxa" w:w="1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Domain age check fails (domain is old)</w:t>
            </w:r>
          </w:p>
        </w:tc>
        <w:tc>
          <w:tcPr>
            <w:tcW w:type="dxa" w:w="4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urlscan DOM analysis is the safety net — detects credential form regardless of domain history.</w:t>
            </w:r>
          </w:p>
        </w:tc>
      </w:tr>
    </w:tbl>
    <w:p>
      <w:pPr>
        <w:spacing w:before="200" w:after="0"/>
      </w:pPr>
      <w:r>
        <w:t xml:space="preserve"/>
      </w:r>
    </w:p>
    <w:p>
      <w:pPr>
        <w:pStyle w:val="Heading1"/>
        <w:pageBreakBefore/>
        <w:pBdr>
          <w:bottom w:val="single" w:color="0D7377" w:sz="8" w:space="6"/>
        </w:pBdr>
        <w:spacing w:before="0" w:after="200"/>
      </w:pPr>
      <w:bookmarkStart w:name="roadmap" w:id="1"/>
      <w:r>
        <w:rPr>
          <w:rFonts w:ascii="Arial" w:cs="Arial" w:eastAsia="Arial" w:hAnsi="Arial"/>
          <w:b/>
          <w:bCs/>
          <w:color w:val="1B2A4A"/>
          <w:sz w:val="36"/>
          <w:szCs w:val="36"/>
        </w:rPr>
        <w:t xml:space="preserve">Future Roadmap — v1.1 and Beyond</w:t>
      </w:r>
      <w:bookmarkEnd w:id="1"/>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560"/>
      </w:tblGrid>
      <w:tr>
        <w:trPr>
          <w:tblHeader/>
        </w:trPr>
        <w:tc>
          <w:tcPr>
            <w:tcW w:type="dxa" w:w="9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Version</w:t>
            </w:r>
          </w:p>
        </w:tc>
        <w:tc>
          <w:tcPr>
            <w:tcW w:type="dxa" w:w="2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Feature</w:t>
            </w:r>
          </w:p>
        </w:tc>
        <w:tc>
          <w:tcPr>
            <w:tcW w:type="dxa" w:w="55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Rationale</w:t>
            </w:r>
          </w:p>
        </w:tc>
      </w:tr>
      <w:tr>
        <w:tc>
          <w:tcPr>
            <w:tcW w:type="dxa" w:w="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v1.1</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SARIF output format</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Compatibility with GitHub Code Scanning and VS Code security extensions</w:t>
            </w:r>
          </w:p>
        </w:tc>
      </w:tr>
      <w:tr>
        <w:tc>
          <w:tcPr>
            <w:tcW w:type="dxa" w:w="9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v1.1</w:t>
            </w:r>
          </w:p>
        </w:tc>
        <w:tc>
          <w:tcPr>
            <w:tcW w:type="dxa" w:w="28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PhishDebate multi-agent LLM (two-agent debate + judge)</w:t>
            </w:r>
          </w:p>
        </w:tc>
        <w:tc>
          <w:tcPr>
            <w:tcW w:type="dxa" w:w="55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Better detection of subtle social engineering — published architecture (arxiv June 2025)</w:t>
            </w:r>
          </w:p>
        </w:tc>
      </w:tr>
      <w:tr>
        <w:tc>
          <w:tcPr>
            <w:tcW w:type="dxa" w:w="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v1.1</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SMTP listener mode</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Accept forwarded suspicious emails over SMTP directly into analysis pipeline</w:t>
            </w:r>
          </w:p>
        </w:tc>
      </w:tr>
      <w:tr>
        <w:tc>
          <w:tcPr>
            <w:tcW w:type="dxa" w:w="9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v1.1</w:t>
            </w:r>
          </w:p>
        </w:tc>
        <w:tc>
          <w:tcPr>
            <w:tcW w:type="dxa" w:w="28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Slack/Teams alert integration</w:t>
            </w:r>
          </w:p>
        </w:tc>
        <w:tc>
          <w:tcPr>
            <w:tcW w:type="dxa" w:w="55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Post verdict notifications to SOC channel with one-line summary and report link</w:t>
            </w:r>
          </w:p>
        </w:tc>
      </w:tr>
      <w:tr>
        <w:tc>
          <w:tcPr>
            <w:tcW w:type="dxa" w:w="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v1.2</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mail_to_misp direct integration</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Forward confirmed phishing to MISP automatically from shared SOC mailbox</w:t>
            </w:r>
          </w:p>
        </w:tc>
      </w:tr>
      <w:tr>
        <w:tc>
          <w:tcPr>
            <w:tcW w:type="dxa" w:w="9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v1.2</w:t>
            </w:r>
          </w:p>
        </w:tc>
        <w:tc>
          <w:tcPr>
            <w:tcW w:type="dxa" w:w="28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Cuckoo Sandbox integration</w:t>
            </w:r>
          </w:p>
        </w:tc>
        <w:tc>
          <w:tcPr>
            <w:tcW w:type="dxa" w:w="55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Submit high-scoring attachments to self-hosted Cuckoo for full behavioral analysis</w:t>
            </w:r>
          </w:p>
        </w:tc>
      </w:tr>
      <w:tr>
        <w:tc>
          <w:tcPr>
            <w:tcW w:type="dxa" w:w="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v1.2</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EXPLICATE LIME+SHAP explainability layer</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Show analyst exactly which feature values drove the verdict score — published architecture March 2025</w:t>
            </w:r>
          </w:p>
        </w:tc>
      </w:tr>
      <w:tr>
        <w:tc>
          <w:tcPr>
            <w:tcW w:type="dxa" w:w="9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v2.0</w:t>
            </w:r>
          </w:p>
        </w:tc>
        <w:tc>
          <w:tcPr>
            <w:tcW w:type="dxa" w:w="28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MultiPhishGuard five-agent LLM architecture</w:t>
            </w:r>
          </w:p>
        </w:tc>
        <w:tc>
          <w:tcPr>
            <w:tcW w:type="dxa" w:w="55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Text + URL + Metadata + Adversarial + Rationale agents via PPO RL — ACM CCS 2025</w:t>
            </w:r>
          </w:p>
        </w:tc>
      </w:tr>
      <w:tr>
        <w:tc>
          <w:tcPr>
            <w:tcW w:type="dxa" w:w="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v2.0</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Browser extension mode (Prizm integration)</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In-browser analysis of suspected phishing pages, leveraging Prizm DOM scanning</w:t>
            </w:r>
          </w:p>
        </w:tc>
      </w:tr>
      <w:tr>
        <w:tc>
          <w:tcPr>
            <w:tcW w:type="dxa" w:w="9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v2.0</w:t>
            </w:r>
          </w:p>
        </w:tc>
        <w:tc>
          <w:tcPr>
            <w:tcW w:type="dxa" w:w="280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Real-time CT stream monitoring</w:t>
            </w:r>
          </w:p>
        </w:tc>
        <w:tc>
          <w:tcPr>
            <w:tcW w:type="dxa" w:w="5560"/>
            <w:tcBorders>
              <w:top w:val="single" w:color="D1D5DB" w:sz="1"/>
              <w:left w:val="single" w:color="D1D5DB" w:sz="1"/>
              <w:bottom w:val="single" w:color="D1D5DB" w:sz="1"/>
              <w:right w:val="single" w:color="D1D5DB" w:sz="1"/>
            </w:tcBorders>
            <w:shd w:fill="F0F4F8" w:val="clear"/>
            <w:tcMar>
              <w:top w:type="dxa" w:w="100"/>
              <w:left w:type="dxa" w:w="140"/>
              <w:bottom w:type="dxa" w:w="100"/>
              <w:right w:type="dxa" w:w="140"/>
            </w:tcMar>
          </w:tcPr>
          <w:p>
            <w:pPr>
              <w:spacing w:before="0" w:after="0"/>
            </w:pPr>
            <w:r>
              <w:rPr>
                <w:rFonts w:ascii="Arial" w:cs="Arial" w:eastAsia="Arial" w:hAnsi="Arial"/>
                <w:color w:val="4A5568"/>
                <w:sz w:val="20"/>
                <w:szCs w:val="20"/>
              </w:rPr>
              <w:t xml:space="preserve">Subscribe to Certificate Transparency streams via certstream for new phishing domain detection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6"/>
              <w:bottom w:val="single" w:color="0D7377" w:sz="1"/>
              <w:right w:val="single" w:color="0D7377" w:sz="1"/>
            </w:tcBorders>
            <w:shd w:fill="E8F6F6" w:val="clear"/>
            <w:tcMar>
              <w:top w:type="dxa" w:w="120"/>
              <w:left w:type="dxa" w:w="200"/>
              <w:bottom w:type="dxa" w:w="120"/>
              <w:right w:type="dxa" w:w="160"/>
            </w:tcMar>
          </w:tcPr>
          <w:p>
            <w:pPr>
              <w:spacing w:before="0" w:after="60"/>
            </w:pPr>
            <w:r>
              <w:rPr>
                <w:rFonts w:ascii="Arial" w:cs="Arial" w:eastAsia="Arial" w:hAnsi="Arial"/>
                <w:b/>
                <w:bCs/>
                <w:caps/>
                <w:color w:val="0D7377"/>
                <w:sz w:val="20"/>
                <w:szCs w:val="20"/>
              </w:rPr>
              <w:t xml:space="preserve">Build Order Reminder</w:t>
            </w:r>
          </w:p>
          <w:p>
            <w:pPr>
              <w:spacing w:before="0" w:after="0"/>
            </w:pPr>
            <w:r>
              <w:rPr>
                <w:rFonts w:ascii="Arial" w:cs="Arial" w:eastAsia="Arial" w:hAnsi="Arial"/>
                <w:color w:val="4A5568"/>
                <w:sz w:val="21"/>
                <w:szCs w:val="21"/>
              </w:rPr>
              <w:t xml:space="preserve">Phase 1 (parser + extractor) must be complete with passing tests before Phase 2 begins. Every phase gate requires: all tests pass, lure analyze &lt;sample.eml&gt; produces valid output, no crashes on malformed input. Do not skip gates — a fragile enrichment layer built on a fragile parser will be unmaintainable.</w:t>
            </w:r>
          </w:p>
        </w:tc>
      </w:tr>
    </w:tbl>
    <w:p>
      <w:pPr>
        <w:spacing w:before="200" w:after="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spacing w:before="0"/>
    </w:pPr>
    <w:r>
      <w:rPr>
        <w:rFonts w:ascii="Arial" w:cs="Arial" w:eastAsia="Arial" w:hAnsi="Arial"/>
        <w:color w:val="D1D5DB"/>
        <w:sz w:val="16"/>
        <w:szCs w:val="16"/>
      </w:rPr>
      <w:t xml:space="preserve">CONFIDENTIAL  ·  INTERNAL USE ONLY</w:t>
    </w:r>
    <w:r>
      <w:rPr>
        <w:rFonts w:ascii="Arial" w:cs="Arial" w:eastAsia="Arial" w:hAnsi="Arial"/>
        <w:color w:val="4A5568"/>
        <w:sz w:val="18"/>
        <w:szCs w:val="18"/>
      </w:rPr>
      <w:t xml:space="preserve">        Page </w:t>
    </w:r>
    <w:r>
      <w:rPr>
        <w:rFonts w:ascii="Arial" w:cs="Arial" w:eastAsia="Arial" w:hAnsi="Arial"/>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spacing w:after="0"/>
    </w:pPr>
    <w:r>
      <w:rPr>
        <w:rFonts w:ascii="Arial" w:cs="Arial" w:eastAsia="Arial" w:hAnsi="Arial"/>
        <w:color w:val="4A5568"/>
        <w:sz w:val="18"/>
        <w:szCs w:val="18"/>
      </w:rPr>
      <w:t xml:space="preserve">LURE — Phishing Analysis &amp; IOC Extraction Platform</w:t>
    </w:r>
    <w:r>
      <w:rPr>
        <w:rFonts w:ascii="Arial" w:cs="Arial" w:eastAsia="Arial" w:hAnsi="Arial"/>
        <w:color w:val="D1D5DB"/>
        <w:sz w:val="18"/>
        <w:szCs w:val="18"/>
      </w:rPr>
      <w:t xml:space="preserve">   |   Implementation Plan   |   Fevra Security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1B2A4A"/>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2026-02-24T21:56:51.372Z</dcterms:created>
  <dcterms:modified xsi:type="dcterms:W3CDTF">2026-02-24T21:56:51.373Z</dcterms:modified>
</cp:coreProperties>
</file>

<file path=docProps/custom.xml><?xml version="1.0" encoding="utf-8"?>
<Properties xmlns="http://schemas.openxmlformats.org/officeDocument/2006/custom-properties" xmlns:vt="http://schemas.openxmlformats.org/officeDocument/2006/docPropsVTypes"/>
</file>