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pPr>
      <w:r>
        <w:rPr>
          <w:rFonts w:ascii="Calibri" w:hAnsi="Calibri"/>
          <w:b/>
          <w:color w:val="1a3c6e"/>
          <w:sz w:val="44"/>
        </w:rPr>
        <w:t xml:space="preserve">Proposed ITSM &amp; Operations Architecture</w:t>
      </w:r>
      <w:r/>
    </w:p>
    <w:p>
      <w:pPr>
        <w:pBdr/>
        <w:spacing/>
        <w:ind/>
        <w:jc w:val="center"/>
        <w:rPr/>
      </w:pPr>
      <w:r>
        <w:rPr>
          <w:rFonts w:ascii="Calibri" w:hAnsi="Calibri"/>
          <w:b w:val="0"/>
          <w:color w:val="999999"/>
          <w:sz w:val="20"/>
        </w:rPr>
        <w:t xml:space="preserve">Date: 2026</w:t>
        <w:br/>
        <w:t xml:space="preserve">Classification: Internal — Architecture Decision Record</w:t>
      </w:r>
      <w:r/>
    </w:p>
    <w:p>
      <w:pPr>
        <w:pBdr>
          <w:bottom w:val="single" w:color="1a3c6e" w:sz="6" w:space="1"/>
        </w:pBdr>
        <w:spacing w:after="40" w:before="40"/>
        <w:ind/>
        <w:rPr/>
      </w:pPr>
      <w:r/>
      <w:r/>
    </w:p>
    <w:p>
      <w:pPr>
        <w:pStyle w:val="693"/>
        <w:pBdr/>
        <w:spacing/>
        <w:ind/>
        <w:rPr/>
      </w:pPr>
      <w:r>
        <w:t xml:space="preserve">1. Executive Summary</w:t>
      </w:r>
      <w:r/>
    </w:p>
    <w:p>
      <w:pPr>
        <w:pBdr/>
        <w:spacing/>
        <w:ind/>
        <w:rPr/>
      </w:pPr>
      <w:r>
        <w:rPr>
          <w:rFonts w:ascii="Calibri" w:hAnsi="Calibri"/>
          <w:b w:val="0"/>
          <w:color w:val="333333"/>
          <w:sz w:val="22"/>
        </w:rPr>
        <w:t xml:space="preserve">This document defines the proposed ITSM and Operations Architecture for the infrastructure team. The architecture delivers a </w:t>
      </w:r>
      <w:r>
        <w:rPr>
          <w:rFonts w:ascii="Calibri" w:hAnsi="Calibri"/>
          <w:b/>
          <w:color w:val="333333"/>
          <w:sz w:val="22"/>
        </w:rPr>
        <w:t xml:space="preserve">modern, automated, and integrated platform</w:t>
      </w:r>
      <w:r>
        <w:rPr>
          <w:rFonts w:ascii="Calibri" w:hAnsi="Calibri"/>
          <w:b w:val="0"/>
          <w:color w:val="333333"/>
          <w:sz w:val="22"/>
        </w:rPr>
        <w:t xml:space="preserve"> that achieves full </w:t>
      </w:r>
      <w:r>
        <w:rPr>
          <w:rFonts w:ascii="Calibri" w:hAnsi="Calibri"/>
          <w:b w:val="0"/>
          <w:color w:val="333333"/>
          <w:sz w:val="22"/>
        </w:rPr>
        <w:t xml:space="preserve">operational maturity — complete auditability, automated incident response, controlled change management, and a live service topology view — by orchestrating our existing investments in ERPNext and Grafana through a lightweight, team-owned middleware layer.</w:t>
      </w:r>
      <w:r/>
    </w:p>
    <w:p>
      <w:pPr>
        <w:pBdr/>
        <w:spacing/>
        <w:ind/>
        <w:rPr/>
      </w:pPr>
      <w:r>
        <w:rPr>
          <w:rFonts w:ascii="Calibri" w:hAnsi="Calibri"/>
          <w:b w:val="0"/>
          <w:color w:val="333333"/>
          <w:sz w:val="22"/>
        </w:rPr>
        <w:t xml:space="preserve">The architecture establishes a </w:t>
      </w:r>
      <w:r>
        <w:rPr>
          <w:rFonts w:ascii="Calibri" w:hAnsi="Calibri"/>
          <w:b/>
          <w:color w:val="333333"/>
          <w:sz w:val="22"/>
        </w:rPr>
        <w:t xml:space="preserve">single source of truth</w:t>
      </w:r>
      <w:r>
        <w:rPr>
          <w:rFonts w:ascii="Calibri" w:hAnsi="Calibri"/>
          <w:b w:val="0"/>
          <w:color w:val="333333"/>
          <w:sz w:val="22"/>
        </w:rPr>
        <w:t xml:space="preserve"> for all operational records: ERPNext serves as the authoritative ledger for incidents, changes, SLAs, and approvals; Grafana provides real-time observability and live depende</w:t>
      </w:r>
      <w:r>
        <w:rPr>
          <w:rFonts w:ascii="Calibri" w:hAnsi="Calibri"/>
          <w:b w:val="0"/>
          <w:color w:val="333333"/>
          <w:sz w:val="22"/>
        </w:rPr>
        <w:t xml:space="preserve">ncy mapping; and the middleware layer handles event processing, deduplication, and bi-directional integration. This approach eliminates tool fragmentation, reduces manual handoffs, and ensures every operational action is traceable from alert to resolution.</w:t>
      </w:r>
      <w:r/>
    </w:p>
    <w:p>
      <w:pPr>
        <w:pBdr>
          <w:bottom w:val="single" w:color="1a3c6e" w:sz="6" w:space="1"/>
        </w:pBdr>
        <w:spacing w:after="40" w:before="40"/>
        <w:ind/>
        <w:rPr/>
      </w:pPr>
      <w:r/>
      <w:r/>
    </w:p>
    <w:p>
      <w:pPr>
        <w:pStyle w:val="693"/>
        <w:pBdr/>
        <w:spacing/>
        <w:ind/>
        <w:rPr/>
      </w:pPr>
      <w:r>
        <w:t xml:space="preserve">2. Core Platform Components</w:t>
      </w:r>
      <w:r/>
    </w:p>
    <w:p>
      <w:pPr>
        <w:pBdr/>
        <w:spacing/>
        <w:ind/>
        <w:rPr/>
      </w:pPr>
      <w:r>
        <w:rPr>
          <w:rFonts w:ascii="Calibri" w:hAnsi="Calibri"/>
          <w:b w:val="0"/>
          <w:color w:val="333333"/>
          <w:sz w:val="22"/>
        </w:rPr>
        <w:t xml:space="preserve">The following table defines the role and key capabilities of each platform component:</w:t>
      </w:r>
      <w:r/>
    </w:p>
    <w:tbl>
      <w:tblPr>
        <w:tblStyle w:val="753"/>
        <w:jc w:val="center"/>
        <w:tblW w:w="0" w:type="auto"/>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3120"/>
        <w:gridCol w:w="3120"/>
        <w:gridCol w:w="3120"/>
      </w:tblGrid>
      <w:tr>
        <w:trPr/>
        <w:tc>
          <w:tcPr>
            <w:shd w:val="clear" w:color="auto" w:fill="2e75b6"/>
            <w:tcBorders/>
            <w:tcW w:w="1984" w:type="dxa"/>
          </w:tcPr>
          <w:p>
            <w:pPr>
              <w:pBdr/>
              <w:spacing w:after="40" w:before="40"/>
              <w:ind/>
              <w:jc w:val="left"/>
              <w:rPr/>
            </w:pPr>
            <w:r>
              <w:rPr>
                <w:rFonts w:ascii="Calibri" w:hAnsi="Calibri"/>
                <w:b/>
                <w:color w:val="ffffff"/>
                <w:sz w:val="20"/>
              </w:rPr>
              <w:t xml:space="preserve">Component</w:t>
            </w:r>
            <w:r/>
          </w:p>
        </w:tc>
        <w:tc>
          <w:tcPr>
            <w:shd w:val="clear" w:color="auto" w:fill="2e75b6"/>
            <w:tcBorders/>
            <w:tcW w:w="2551" w:type="dxa"/>
          </w:tcPr>
          <w:p>
            <w:pPr>
              <w:pBdr/>
              <w:spacing w:after="40" w:before="40"/>
              <w:ind/>
              <w:jc w:val="left"/>
              <w:rPr/>
            </w:pPr>
            <w:r>
              <w:rPr>
                <w:rFonts w:ascii="Calibri" w:hAnsi="Calibri"/>
                <w:b/>
                <w:color w:val="ffffff"/>
                <w:sz w:val="20"/>
              </w:rPr>
              <w:t xml:space="preserve">Role in Architecture</w:t>
            </w:r>
            <w:r/>
          </w:p>
        </w:tc>
        <w:tc>
          <w:tcPr>
            <w:shd w:val="clear" w:color="auto" w:fill="2e75b6"/>
            <w:tcBorders/>
            <w:tcW w:w="5102" w:type="dxa"/>
          </w:tcPr>
          <w:p>
            <w:pPr>
              <w:pBdr/>
              <w:spacing w:after="40" w:before="40"/>
              <w:ind/>
              <w:jc w:val="left"/>
              <w:rPr/>
            </w:pPr>
            <w:r>
              <w:rPr>
                <w:rFonts w:ascii="Calibri" w:hAnsi="Calibri"/>
                <w:b/>
                <w:color w:val="ffffff"/>
                <w:sz w:val="20"/>
              </w:rPr>
              <w:t xml:space="preserve">Key Capabilities Utilised</w:t>
            </w:r>
            <w:r/>
          </w:p>
        </w:tc>
      </w:tr>
      <w:tr>
        <w:trPr/>
        <w:tc>
          <w:tcPr>
            <w:tcBorders/>
            <w:tcW w:w="1984" w:type="dxa"/>
          </w:tcPr>
          <w:p>
            <w:pPr>
              <w:pBdr/>
              <w:spacing w:after="40" w:before="40"/>
              <w:ind/>
              <w:jc w:val="left"/>
              <w:rPr/>
            </w:pPr>
            <w:r>
              <w:rPr>
                <w:b/>
              </w:rPr>
            </w:r>
            <w:r>
              <w:rPr>
                <w:rFonts w:ascii="Calibri" w:hAnsi="Calibri"/>
                <w:b/>
                <w:color w:val="333333"/>
                <w:sz w:val="19"/>
              </w:rPr>
              <w:t xml:space="preserve">ERPNext</w:t>
            </w:r>
            <w:r/>
          </w:p>
        </w:tc>
        <w:tc>
          <w:tcPr>
            <w:tcBorders/>
            <w:tcW w:w="2551" w:type="dxa"/>
          </w:tcPr>
          <w:p>
            <w:pPr>
              <w:pBdr/>
              <w:spacing w:after="40" w:before="40"/>
              <w:ind/>
              <w:jc w:val="left"/>
              <w:rPr/>
            </w:pPr>
            <w:r>
              <w:rPr>
                <w:rFonts w:ascii="Calibri" w:hAnsi="Calibri"/>
                <w:b w:val="0"/>
                <w:color w:val="333333"/>
                <w:sz w:val="19"/>
              </w:rPr>
              <w:t xml:space="preserve">Operational System of Record</w:t>
            </w:r>
            <w:r/>
          </w:p>
        </w:tc>
        <w:tc>
          <w:tcPr>
            <w:tcBorders/>
            <w:tcW w:w="5102" w:type="dxa"/>
          </w:tcPr>
          <w:p>
            <w:r>
              <w:t>Helpdesk (incident &amp; ticket lifecycle), native SLA engine, Workflow Builder (approval chains), Custom DocTypes (Unified Change Request), Activity Log and Version records (audit trail — note these can be edited/deleted by a System Manager or with DB access), REST API (integration surface), Accounting/HR/Procurement (business context)</w:t>
            </w:r>
          </w:p>
        </w:tc>
      </w:tr>
      <w:tr>
        <w:trPr/>
        <w:tc>
          <w:tcPr>
            <w:tcBorders/>
            <w:tcW w:w="1984" w:type="dxa"/>
          </w:tcPr>
          <w:p>
            <w:pPr>
              <w:pBdr/>
              <w:spacing w:after="40" w:before="40"/>
              <w:ind/>
              <w:jc w:val="left"/>
              <w:rPr/>
            </w:pPr>
            <w:r>
              <w:rPr>
                <w:b/>
              </w:rPr>
            </w:r>
            <w:r>
              <w:rPr>
                <w:rFonts w:ascii="Calibri" w:hAnsi="Calibri"/>
                <w:b/>
                <w:color w:val="333333"/>
                <w:sz w:val="19"/>
              </w:rPr>
              <w:t xml:space="preserve">Grafana</w:t>
            </w:r>
            <w:r/>
          </w:p>
        </w:tc>
        <w:tc>
          <w:tcPr>
            <w:tcBorders/>
            <w:tcW w:w="2551" w:type="dxa"/>
          </w:tcPr>
          <w:p>
            <w:pPr>
              <w:pBdr/>
              <w:spacing w:after="40" w:before="40"/>
              <w:ind/>
              <w:jc w:val="left"/>
              <w:rPr/>
            </w:pPr>
            <w:r>
              <w:rPr>
                <w:rFonts w:ascii="Calibri" w:hAnsi="Calibri"/>
                <w:b w:val="0"/>
                <w:color w:val="333333"/>
                <w:sz w:val="19"/>
              </w:rPr>
              <w:t xml:space="preserve">Observability &amp; Topology Platform</w:t>
            </w:r>
            <w:r/>
          </w:p>
        </w:tc>
        <w:tc>
          <w:tcPr>
            <w:tcBorders/>
            <w:tcW w:w="5102" w:type="dxa"/>
          </w:tcPr>
          <w:p>
            <w:pPr>
              <w:pBdr/>
              <w:spacing w:after="40" w:before="40"/>
              <w:ind/>
              <w:jc w:val="left"/>
              <w:rPr/>
            </w:pPr>
            <w:r>
              <w:rPr>
                <w:rFonts w:ascii="Calibri" w:hAnsi="Calibri"/>
                <w:b w:val="0"/>
                <w:color w:val="333333"/>
                <w:sz w:val="19"/>
              </w:rPr>
              <w:t xml:space="preserve">Metrics/logs/traces collection (OpenTelemetry), alerting engine, Service Graphs (auto-generated live dependency maps from trace data), dashboarding, webhook notifications</w:t>
            </w:r>
            <w:r/>
          </w:p>
        </w:tc>
      </w:tr>
      <w:tr>
        <w:trPr/>
        <w:tc>
          <w:tcPr>
            <w:tcBorders/>
            <w:tcW w:w="1984" w:type="dxa"/>
          </w:tcPr>
          <w:p>
            <w:r>
              <w:t>Frappe Custom App (itsm_integration)</w:t>
            </w:r>
          </w:p>
        </w:tc>
        <w:tc>
          <w:tcPr>
            <w:tcBorders/>
            <w:tcW w:w="2551" w:type="dxa"/>
          </w:tcPr>
          <w:p>
            <w:r>
              <w:t>Webhook Ingestion &amp; Enrichment (part of ERPNext)</w:t>
            </w:r>
          </w:p>
        </w:tc>
        <w:tc>
          <w:tcPr>
            <w:tcBorders/>
            <w:tcW w:w="5102" w:type="dxa"/>
          </w:tcPr>
          <w:p>
            <w:r>
              <w:t>Grafana webhook ingestion at whitelisted method /api/method/itsm_integration.webhook.ingest, fingerprint deduplication via unique indexed custom field on HD Ticket, severity→priority mapping, annotation enrichment (runbook_url, summary, dashboard_url), duplicate handling (append occurrence note, bump counter, update timestamp), returns 200 to Grafana, deployed as part of ERPNext (no separate service to operate)</w:t>
            </w:r>
          </w:p>
        </w:tc>
      </w:tr>
    </w:tbl>
    <w:p>
      <w:pPr>
        <w:pBdr/>
        <w:spacing/>
        <w:ind/>
        <w:rPr/>
      </w:pPr>
      <w:r>
        <w:rPr>
          <w:rFonts w:ascii="Calibri" w:hAnsi="Calibri"/>
          <w:b/>
          <w:color w:val="333333"/>
          <w:sz w:val="22"/>
        </w:rPr>
        <w:t xml:space="preserve">Integration Principle: </w:t>
      </w:r>
      <w:r>
        <w:rPr>
          <w:rFonts w:ascii="Calibri" w:hAnsi="Calibri"/>
          <w:b w:val="0"/>
          <w:color w:val="333333"/>
          <w:sz w:val="22"/>
        </w:rPr>
        <w:t xml:space="preserve">All cross-system communication flows through the middleware. ERPNext and Grafana remain the authoritative domains for their respective data; the middleware translates, enriches, and routes — it does not become a second system of record.</w:t>
      </w:r>
      <w:r/>
    </w:p>
    <w:p>
      <w:pPr>
        <w:pBdr>
          <w:bottom w:val="single" w:color="1a3c6e" w:sz="6" w:space="1"/>
        </w:pBdr>
        <w:spacing w:after="40" w:before="40"/>
        <w:ind/>
        <w:rPr/>
      </w:pPr>
      <w:r/>
      <w:r/>
    </w:p>
    <w:p>
      <w:pPr>
        <w:pStyle w:val="693"/>
        <w:pBdr/>
        <w:spacing/>
        <w:ind/>
        <w:rPr/>
      </w:pPr>
      <w:r>
        <w:t xml:space="preserve">3. Incident Management &amp; Automated Routing</w:t>
      </w:r>
      <w:r/>
    </w:p>
    <w:p>
      <w:pPr>
        <w:pStyle w:val="694"/>
        <w:pBdr/>
        <w:spacing/>
        <w:ind/>
        <w:rPr/>
      </w:pPr>
      <w:r>
        <w:t xml:space="preserve">3.1 End-to-End Flow</w:t>
      </w:r>
      <w:r/>
    </w:p>
    <w:p>
      <w:pPr>
        <w:pBdr/>
        <w:spacing/>
        <w:ind/>
        <w:rPr/>
      </w:pPr>
      <w:r>
        <w:rPr>
          <w:rFonts w:ascii="Calibri" w:hAnsi="Calibri"/>
          <w:b w:val="0"/>
          <w:color w:val="333333"/>
          <w:sz w:val="22"/>
        </w:rPr>
        <w:t xml:space="preserve">The following flow diagram illustrates the automated incident lifecycle from alert to resolution:</w:t>
      </w:r>
      <w:r/>
    </w:p>
    <w:p>
      <w:pPr>
        <w:pBdr/>
        <w:spacing/>
        <w:ind/>
        <w:rPr/>
      </w:pPr>
      <w:r>
        <w:t>Grafana Alert (Prometheus/Loki/Tempo) → Webhook → Frappe Custom App endpoint (/api/method/itsm_integration.webhook.ingest) → Dedup by Grafana fingerprint (unique indexed custom field on HD Ticket) → New: Enrich (service label, priority, runbook link) → Insert HD Ticket (ERPNext Helpdesk, SLA timer starts) | Duplicate: Update Existing Ticket (append occurrence note, bump counter, update timestamp) → Alert Resolved (Grafana) → Webhook → Endpoint → Match Fingerprint → Auto-Resolve Ticket (P1/P2 require human closure) → Resolution Note + Timestamp</w:t>
      </w:r>
    </w:p>
    <w:p>
      <w:pPr>
        <w:pStyle w:val="694"/>
        <w:pBdr/>
        <w:spacing/>
        <w:ind/>
        <w:rPr/>
      </w:pPr>
      <w:r>
        <w:t xml:space="preserve">3.2 Key Behaviours</w:t>
      </w:r>
      <w:r/>
    </w:p>
    <w:tbl>
      <w:tblPr>
        <w:tblStyle w:val="753"/>
        <w:jc w:val="center"/>
        <w:tblW w:w="0" w:type="auto"/>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4680"/>
        <w:gridCol w:w="4680"/>
      </w:tblGrid>
      <w:tr>
        <w:trPr/>
        <w:tc>
          <w:tcPr>
            <w:shd w:val="clear" w:color="auto" w:fill="2e75b6"/>
            <w:tcBorders/>
            <w:tcW w:w="2268" w:type="dxa"/>
          </w:tcPr>
          <w:p>
            <w:pPr>
              <w:pBdr/>
              <w:spacing w:after="40" w:before="40"/>
              <w:ind/>
              <w:jc w:val="left"/>
              <w:rPr/>
            </w:pPr>
            <w:r>
              <w:rPr>
                <w:rFonts w:ascii="Calibri" w:hAnsi="Calibri"/>
                <w:b/>
                <w:color w:val="ffffff"/>
                <w:sz w:val="20"/>
              </w:rPr>
              <w:t xml:space="preserve">Behaviour</w:t>
            </w:r>
            <w:r/>
          </w:p>
        </w:tc>
        <w:tc>
          <w:tcPr>
            <w:shd w:val="clear" w:color="auto" w:fill="2e75b6"/>
            <w:tcBorders/>
            <w:tcW w:w="7370" w:type="dxa"/>
          </w:tcPr>
          <w:p>
            <w:pPr>
              <w:pBdr/>
              <w:spacing w:after="40" w:before="40"/>
              <w:ind/>
              <w:jc w:val="left"/>
              <w:rPr/>
            </w:pPr>
            <w:r>
              <w:rPr>
                <w:rFonts w:ascii="Calibri" w:hAnsi="Calibri"/>
                <w:b/>
                <w:color w:val="ffffff"/>
                <w:sz w:val="20"/>
              </w:rPr>
              <w:t xml:space="preserve">Implementation</w:t>
            </w:r>
            <w:r/>
          </w:p>
        </w:tc>
      </w:tr>
      <w:tr>
        <w:trPr/>
        <w:tc>
          <w:tcPr>
            <w:tcBorders/>
            <w:tcW w:w="2268" w:type="dxa"/>
          </w:tcPr>
          <w:p>
            <w:pPr>
              <w:pBdr/>
              <w:spacing w:after="40" w:before="40"/>
              <w:ind/>
              <w:jc w:val="left"/>
              <w:rPr/>
            </w:pPr>
            <w:r>
              <w:rPr>
                <w:rFonts w:ascii="Calibri" w:hAnsi="Calibri"/>
                <w:b/>
                <w:color w:val="333333"/>
                <w:sz w:val="19"/>
              </w:rPr>
              <w:t xml:space="preserve">Event Deduplication</w:t>
            </w:r>
            <w:r/>
          </w:p>
        </w:tc>
        <w:tc>
          <w:tcPr>
            <w:tcBorders/>
            <w:tcW w:w="7370" w:type="dxa"/>
          </w:tcPr>
          <w:p>
            <w:r>
              <w:t>Deduplication is handled by the database unique index on the HD Ticket fingerprint custom field (the Grafana per-alert fingerprint from the webhook payload — verify against our Grafana version's payload; do not hash our own). Duplicate webhooks within a configurable window UPDATE the existing ticket (append occurrence note, bump occurrence counter, update timestamp) rather than creating new tickets. Grouped webhooks containing multiple alerts are handled by iterating the alerts array.</w:t>
            </w:r>
          </w:p>
        </w:tc>
      </w:tr>
      <w:tr>
        <w:trPr/>
        <w:tc>
          <w:tcPr>
            <w:tcBorders/>
            <w:tcW w:w="2268" w:type="dxa"/>
          </w:tcPr>
          <w:p>
            <w:pPr>
              <w:pBdr/>
              <w:spacing w:after="40" w:before="40"/>
              <w:ind/>
              <w:jc w:val="left"/>
              <w:rPr/>
            </w:pPr>
            <w:r>
              <w:rPr>
                <w:rFonts w:ascii="Calibri" w:hAnsi="Calibri"/>
                <w:b/>
                <w:color w:val="333333"/>
                <w:sz w:val="19"/>
              </w:rPr>
              <w:t xml:space="preserve">Priority Mapping</w:t>
            </w:r>
            <w:r/>
          </w:p>
        </w:tc>
        <w:tc>
          <w:tcPr>
            <w:tcBorders/>
            <w:tcW w:w="7370" w:type="dxa"/>
          </w:tcPr>
          <w:p>
            <w:r>
              <w:t>Grafana alert severity (critical, warning, info) maps to ERPNext priority (P1, P2, P3) via a configurable lookup table in the Frappe custom app endpoint.</w:t>
            </w:r>
          </w:p>
        </w:tc>
      </w:tr>
      <w:tr>
        <w:trPr/>
        <w:tc>
          <w:tcPr>
            <w:tcBorders/>
            <w:tcW w:w="2268" w:type="dxa"/>
          </w:tcPr>
          <w:p>
            <w:pPr>
              <w:pBdr/>
              <w:spacing w:after="40" w:before="40"/>
              <w:ind/>
              <w:jc w:val="left"/>
              <w:rPr/>
            </w:pPr>
            <w:r>
              <w:rPr>
                <w:rFonts w:ascii="Calibri" w:hAnsi="Calibri"/>
                <w:b/>
                <w:color w:val="333333"/>
                <w:sz w:val="19"/>
              </w:rPr>
              <w:t xml:space="preserve">Auto-Close on Recovery</w:t>
            </w:r>
            <w:r/>
          </w:p>
        </w:tc>
        <w:tc>
          <w:tcPr>
            <w:tcBorders/>
            <w:tcW w:w="7370" w:type="dxa"/>
          </w:tcPr>
          <w:p>
            <w:r>
              <w:t>When Grafana fires a resolved webhook for a matching fingerprint, the endpoint transitions the HD Ticket to Auto-Resolved (not Closed). P1 and P2 tickets require human closure after verification and remain open until a human confirms. Tickets requiring human verification stay open per policy. A flapping policy applies: if a resolved ticket re-fires within N hours (configurable per service), reopen the existing ticket rather than creating a new one.</w:t>
            </w:r>
          </w:p>
        </w:tc>
      </w:tr>
      <w:tr>
        <w:trPr/>
        <w:tc>
          <w:tcPr>
            <w:tcBorders/>
            <w:tcW w:w="2268" w:type="dxa"/>
          </w:tcPr>
          <w:p>
            <w:pPr>
              <w:pBdr/>
              <w:spacing w:after="40" w:before="40"/>
              <w:ind/>
              <w:jc w:val="left"/>
              <w:rPr/>
            </w:pPr>
            <w:r>
              <w:rPr>
                <w:rFonts w:ascii="Calibri" w:hAnsi="Calibri"/>
                <w:b/>
                <w:color w:val="333333"/>
                <w:sz w:val="19"/>
              </w:rPr>
              <w:t xml:space="preserve">SLA Tracking</w:t>
            </w:r>
            <w:r/>
          </w:p>
        </w:tc>
        <w:tc>
          <w:tcPr>
            <w:tcBorders/>
            <w:tcW w:w="7370" w:type="dxa"/>
          </w:tcPr>
          <w:p>
            <w:r>
              <w:t>ERPNext Helpdesk native SLA engine calculates response/resolution deadlines based on priority, support hours, and calendar. SLA setup is per-priority first-response and resolution targets, a holiday list, and explicit statuses that pause or complete the SLA. "Resolved" pauses the resolution SLA clock but does not complete it until a human confirms closure, which prevents flapping from distorting SLA numbers. Breach warnings and escalations are generated natively.</w:t>
            </w:r>
          </w:p>
        </w:tc>
      </w:tr>
      <w:tr>
        <w:trPr/>
        <w:tc>
          <w:tcPr>
            <w:tcBorders/>
            <w:tcW w:w="2268" w:type="dxa"/>
          </w:tcPr>
          <w:p>
            <w:pPr>
              <w:pBdr/>
              <w:spacing w:after="40" w:before="40"/>
              <w:ind/>
              <w:jc w:val="left"/>
              <w:rPr/>
            </w:pPr>
            <w:r>
              <w:rPr>
                <w:rFonts w:ascii="Calibri" w:hAnsi="Calibri"/>
                <w:b/>
                <w:color w:val="333333"/>
                <w:sz w:val="19"/>
              </w:rPr>
              <w:t xml:space="preserve">Enrichment</w:t>
            </w:r>
            <w:r/>
          </w:p>
        </w:tc>
        <w:tc>
          <w:tcPr>
            <w:tcBorders/>
            <w:tcW w:w="7370" w:type="dxa"/>
          </w:tcPr>
          <w:p>
            <w:r>
              <w:t>The endpoint copies annotations (runbook_url, summary, dashboard_url) into ticket fields and links the ticket to the Service registry doctype (§5.3) as a structured link instead of a free-text label.</w:t>
            </w:r>
          </w:p>
        </w:tc>
      </w:tr>
    </w:tbl>
    <w:p>
      <w:pPr>
        <w:pBdr>
          <w:bottom w:val="single" w:color="1a3c6e" w:sz="6" w:space="1"/>
        </w:pBdr>
        <w:spacing w:after="40" w:before="40"/>
        <w:ind/>
        <w:rPr/>
      </w:pPr>
      <w:r/>
      <w:r/>
    </w:p>
    <w:p>
      <w:pPr>
        <w:pStyle w:val="694"/>
      </w:pPr>
      <w:r>
        <w:t>3.3 Reliability: Ticket Is a Record, Not a Pager</w:t>
      </w:r>
    </w:p>
    <w:p>
      <w:pPr/>
      <w:r>
        <w:t>The HD Ticket is a record of the incident, not a pager. Grafana contact points MUST notify humans directly in parallel with the ERPNext webhook (Slack, email, SMS via a provider). If ERPNext is down, engineers still get paged — they just cannot log the incident in ERPNext until it recovers.</w:t>
      </w:r>
    </w:p>
    <w:p>
      <w:pPr/>
      <w:r>
        <w:t>Add a heartbeat / dead-man's-switch alert for the ingestion endpoint (/api/method/itsm_integration.webhook.ingest) so a silent ingestion failure is itself paged.</w:t>
      </w:r>
    </w:p>
    <w:p>
      <w:pPr/>
      <w:r>
        <w:t>Hosting risk: document where ERPNext is hosted relative to what it monitors. If ERPNext runs on the same infrastructure it tracks, an outage of that infrastructure can take down the incident tool too — this risk must be recorded and mitigated (e.g., run ERPNext on separate infrastructure or accept single-point-of-failure with the direct Grafana notification path as the fallback).</w:t>
      </w:r>
    </w:p>
    <w:p>
      <w:pPr>
        <w:pStyle w:val="693"/>
        <w:pBdr/>
        <w:spacing/>
        <w:ind/>
        <w:rPr/>
      </w:pPr>
      <w:r>
        <w:t xml:space="preserve">4. Unified Change Management</w:t>
      </w:r>
      <w:r/>
    </w:p>
    <w:p>
      <w:pPr>
        <w:pStyle w:val="694"/>
        <w:pBdr/>
        <w:spacing/>
        <w:ind/>
        <w:rPr/>
      </w:pPr>
      <w:r>
        <w:t xml:space="preserve">4.1 Single Source of Truth: ERPNext Custom Change Request DocType</w:t>
      </w:r>
      <w:r/>
    </w:p>
    <w:p>
      <w:pPr>
        <w:pBdr/>
        <w:spacing/>
        <w:ind/>
        <w:rPr/>
      </w:pPr>
      <w:r>
        <w:rPr>
          <w:rFonts w:ascii="Calibri" w:hAnsi="Calibri"/>
          <w:b w:val="0"/>
          <w:color w:val="333333"/>
          <w:sz w:val="22"/>
        </w:rPr>
        <w:t xml:space="preserve">All changes — </w:t>
      </w:r>
      <w:r>
        <w:rPr>
          <w:rFonts w:ascii="Calibri" w:hAnsi="Calibri"/>
          <w:b/>
          <w:color w:val="333333"/>
          <w:sz w:val="22"/>
        </w:rPr>
        <w:t xml:space="preserve">code deployments, infrastructure modifications, hardware swaps, vendor changes, network reconfigurations, configuration updates</w:t>
      </w:r>
      <w:r>
        <w:rPr>
          <w:rFonts w:ascii="Calibri" w:hAnsi="Calibri"/>
          <w:b w:val="0"/>
          <w:color w:val="333333"/>
          <w:sz w:val="22"/>
        </w:rPr>
        <w:t xml:space="preserve"> — are tracked through a single ERPNext Custom DocType: Change Request. This DocType is the authoritative record for:</w:t>
      </w:r>
      <w:r/>
    </w:p>
    <w:p>
      <w:pPr>
        <w:pStyle w:val="723"/>
        <w:pBdr/>
        <w:spacing/>
        <w:ind/>
        <w:rPr/>
      </w:pPr>
      <w:r>
        <w:rPr>
          <w:rFonts w:ascii="Calibri" w:hAnsi="Calibri"/>
          <w:b w:val="0"/>
          <w:color w:val="333333"/>
          <w:sz w:val="22"/>
        </w:rPr>
        <w:t xml:space="preserve">Change description, justification, and business impact</w:t>
      </w:r>
      <w:r/>
    </w:p>
    <w:p>
      <w:pPr>
        <w:pStyle w:val="723"/>
        <w:pBdr/>
        <w:spacing/>
        <w:ind/>
        <w:rPr/>
      </w:pPr>
      <w:r>
        <w:rPr>
          <w:rFonts w:ascii="Calibri" w:hAnsi="Calibri"/>
          <w:b w:val="0"/>
          <w:color w:val="333333"/>
          <w:sz w:val="22"/>
        </w:rPr>
        <w:t xml:space="preserve">Risk assessment (impact × likelihood matrix with automated scoring)</w:t>
      </w:r>
      <w:r/>
    </w:p>
    <w:p>
      <w:pPr>
        <w:pStyle w:val="723"/>
        <w:pBdr/>
        <w:spacing/>
        <w:ind/>
        <w:rPr/>
      </w:pPr>
      <w:r>
        <w:rPr>
          <w:rFonts w:ascii="Calibri" w:hAnsi="Calibri"/>
          <w:b w:val="0"/>
          <w:color w:val="333333"/>
          <w:sz w:val="22"/>
        </w:rPr>
        <w:t xml:space="preserve">Affected services and configuration items (linked via service labels from Grafana/Topology)</w:t>
      </w:r>
      <w:r/>
    </w:p>
    <w:p>
      <w:pPr>
        <w:pStyle w:val="723"/>
        <w:pBdr/>
        <w:spacing/>
        <w:ind/>
        <w:rPr/>
      </w:pPr>
      <w:r>
        <w:rPr>
          <w:rFonts w:ascii="Calibri" w:hAnsi="Calibri"/>
          <w:b w:val="0"/>
          <w:color w:val="333333"/>
          <w:sz w:val="22"/>
        </w:rPr>
        <w:t xml:space="preserve">Implementation plan, testing procedures, validation criteria, and rollback plan</w:t>
      </w:r>
      <w:r/>
    </w:p>
    <w:p>
      <w:pPr>
        <w:pStyle w:val="723"/>
        <w:pBdr/>
        <w:spacing/>
        <w:ind/>
        <w:rPr/>
      </w:pPr>
      <w:r>
        <w:rPr>
          <w:rFonts w:ascii="Calibri" w:hAnsi="Calibri"/>
          <w:b w:val="0"/>
          <w:color w:val="333333"/>
          <w:sz w:val="22"/>
        </w:rPr>
        <w:t xml:space="preserve">Approval chain (Workflow: Draft → Risk Assessment → Pending Approval → Approved for Deployment → Implemented → Post-Implementation Review → Closed)</w:t>
      </w:r>
      <w:r/>
    </w:p>
    <w:p>
      <w:pPr>
        <w:pStyle w:val="723"/>
        <w:pBdr/>
        <w:spacing/>
        <w:ind/>
        <w:rPr/>
      </w:pPr>
      <w:r>
        <w:t>Complete audit trail (ERPNext Version and Activity Log records capture transitions, comments, and field changes with user and timestamp — but these records can be edited or deleted by a System Manager or with direct DB access, so they are not tamper-proof). Stream audit events (workflow transitions, approvals, field changes) to an append-only store as the authoritative audit record. Specific store: DECISION NEEDED — options: (a) Loki with retention policy and no deletion, (b) S3/GCS object-lock bucket, (c) append-only database table with cryptographic hashing.</w:t>
      </w:r>
    </w:p>
    <w:p>
      <w:pPr>
        <w:pStyle w:val="694"/>
        <w:pBdr/>
        <w:spacing/>
        <w:ind/>
        <w:rPr/>
      </w:pPr>
      <w:r>
        <w:t xml:space="preserve">4.2 Git Pull Requests as Implementation Mechanism (Code Changes)</w:t>
      </w:r>
      <w:r/>
    </w:p>
    <w:p>
      <w:pPr>
        <w:pBdr/>
        <w:spacing/>
        <w:ind/>
        <w:rPr/>
      </w:pPr>
      <w:r>
        <w:t>For code deployments, the Git Pull Request is the implementation vehicle, not the change record itself. The production deploy job is gated by the linked, approved Change Request (see §4.2 table).</w:t>
      </w:r>
    </w:p>
    <w:tbl>
      <w:tblPr>
        <w:tblStyle w:val="753"/>
        <w:jc w:val="center"/>
        <w:tblW w:w="0" w:type="auto"/>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4680"/>
        <w:gridCol w:w="4680"/>
      </w:tblGrid>
      <w:tr>
        <w:trPr/>
        <w:tc>
          <w:tcPr>
            <w:shd w:val="clear" w:color="auto" w:fill="2e75b6"/>
            <w:tcBorders/>
            <w:tcW w:w="1984" w:type="dxa"/>
          </w:tcPr>
          <w:p>
            <w:pPr>
              <w:pBdr/>
              <w:spacing w:after="40" w:before="40"/>
              <w:ind/>
              <w:jc w:val="left"/>
              <w:rPr/>
            </w:pPr>
            <w:r>
              <w:rPr>
                <w:rFonts w:ascii="Calibri" w:hAnsi="Calibri"/>
                <w:b/>
                <w:color w:val="ffffff"/>
                <w:sz w:val="20"/>
              </w:rPr>
              <w:t xml:space="preserve">Aspect</w:t>
            </w:r>
            <w:r/>
          </w:p>
        </w:tc>
        <w:tc>
          <w:tcPr>
            <w:shd w:val="clear" w:color="auto" w:fill="2e75b6"/>
            <w:tcBorders/>
            <w:tcW w:w="7654" w:type="dxa"/>
          </w:tcPr>
          <w:p>
            <w:pPr>
              <w:pBdr/>
              <w:spacing w:after="40" w:before="40"/>
              <w:ind/>
              <w:jc w:val="left"/>
              <w:rPr/>
            </w:pPr>
            <w:r>
              <w:rPr>
                <w:rFonts w:ascii="Calibri" w:hAnsi="Calibri"/>
                <w:b/>
                <w:color w:val="ffffff"/>
                <w:sz w:val="20"/>
              </w:rPr>
              <w:t xml:space="preserve">Implementation</w:t>
            </w:r>
            <w:r/>
          </w:p>
        </w:tc>
      </w:tr>
      <w:tr>
        <w:trPr/>
        <w:tc>
          <w:tcPr>
            <w:tcBorders/>
            <w:tcW w:w="1984" w:type="dxa"/>
          </w:tcPr>
          <w:p>
            <w:pPr>
              <w:pBdr/>
              <w:spacing w:after="40" w:before="40"/>
              <w:ind/>
              <w:jc w:val="left"/>
              <w:rPr/>
            </w:pPr>
            <w:r>
              <w:rPr>
                <w:rFonts w:ascii="Calibri" w:hAnsi="Calibri"/>
                <w:b/>
                <w:color w:val="333333"/>
                <w:sz w:val="19"/>
              </w:rPr>
              <w:t xml:space="preserve">Traceability</w:t>
            </w:r>
            <w:r/>
          </w:p>
        </w:tc>
        <w:tc>
          <w:tcPr>
            <w:tcBorders/>
            <w:tcW w:w="7654" w:type="dxa"/>
          </w:tcPr>
          <w:p>
            <w:pPr>
              <w:pBdr/>
              <w:spacing w:after="40" w:before="40"/>
              <w:ind/>
              <w:jc w:val="left"/>
              <w:rPr/>
            </w:pPr>
            <w:r>
              <w:rPr>
                <w:rFonts w:ascii="Calibri" w:hAnsi="Calibri"/>
                <w:b w:val="0"/>
                <w:color w:val="333333"/>
                <w:sz w:val="19"/>
              </w:rPr>
              <w:t xml:space="preserve">Every PR must include the ERPNext Change Request ID in the PR title and/or description (enforced via branch protection + required status check).</w:t>
            </w:r>
            <w:r/>
          </w:p>
        </w:tc>
      </w:tr>
      <w:tr>
        <w:trPr/>
        <w:tc>
          <w:tcPr>
            <w:tcBorders/>
            <w:tcW w:w="1984" w:type="dxa"/>
          </w:tcPr>
          <w:p>
            <w:pPr>
              <w:pBdr/>
              <w:spacing w:after="40" w:before="40"/>
              <w:ind/>
              <w:jc w:val="left"/>
              <w:rPr/>
            </w:pPr>
            <w:r>
              <w:rPr>
                <w:rFonts w:ascii="Calibri" w:hAnsi="Calibri"/>
                <w:b/>
                <w:color w:val="333333"/>
                <w:sz w:val="19"/>
              </w:rPr>
              <w:t xml:space="preserve">Approval Gate</w:t>
            </w:r>
            <w:r/>
          </w:p>
        </w:tc>
        <w:tc>
          <w:tcPr>
            <w:tcBorders/>
            <w:tcW w:w="7654" w:type="dxa"/>
          </w:tcPr>
          <w:p>
            <w:r>
              <w:t>Gate the production deploy job, not the PR merge. Merging is not deploying. The pipeline must verify that the Change Request's linked service/repo matches the PR before the production deploy job can run (otherwise any approved Change Request could be reused for any PR).</w:t>
            </w:r>
          </w:p>
        </w:tc>
      </w:tr>
      <w:tr>
        <w:trPr/>
        <w:tc>
          <w:tcPr>
            <w:tcBorders/>
            <w:tcW w:w="1984" w:type="dxa"/>
          </w:tcPr>
          <w:p>
            <w:pPr>
              <w:pBdr/>
              <w:spacing w:after="40" w:before="40"/>
              <w:ind/>
              <w:jc w:val="left"/>
              <w:rPr/>
            </w:pPr>
            <w:r>
              <w:rPr>
                <w:rFonts w:ascii="Calibri" w:hAnsi="Calibri"/>
                <w:b/>
                <w:color w:val="333333"/>
                <w:sz w:val="19"/>
              </w:rPr>
              <w:t xml:space="preserve">Evidence Capture</w:t>
            </w:r>
            <w:r/>
          </w:p>
        </w:tc>
        <w:tc>
          <w:tcPr>
            <w:tcBorders/>
            <w:tcW w:w="7654" w:type="dxa"/>
          </w:tcPr>
          <w:p>
            <w:pPr>
              <w:pBdr/>
              <w:spacing w:after="40" w:before="40"/>
              <w:ind/>
              <w:jc w:val="left"/>
              <w:rPr/>
            </w:pPr>
            <w:r>
              <w:rPr>
                <w:rFonts w:ascii="Calibri" w:hAnsi="Calibri"/>
                <w:b w:val="0"/>
                <w:color w:val="333333"/>
                <w:sz w:val="19"/>
              </w:rPr>
              <w:t xml:space="preserve">Upon merge, the middleware (or CI/CD webhook) posts deployment evidence — commit SHA, pipeline run URL, test results — back to the ERPNext Change Request.</w:t>
            </w:r>
            <w:r/>
          </w:p>
        </w:tc>
      </w:tr>
      <w:tr>
        <w:trPr/>
        <w:tc>
          <w:tcPr>
            <w:tcBorders/>
            <w:tcW w:w="1984" w:type="dxa"/>
          </w:tcPr>
          <w:p>
            <w:pPr>
              <w:pBdr/>
              <w:spacing w:after="40" w:before="40"/>
              <w:ind/>
              <w:jc w:val="left"/>
              <w:rPr/>
            </w:pPr>
            <w:r>
              <w:rPr>
                <w:rFonts w:ascii="Calibri" w:hAnsi="Calibri"/>
                <w:b/>
                <w:color w:val="333333"/>
                <w:sz w:val="19"/>
              </w:rPr>
              <w:t xml:space="preserve">Rollback Linkage</w:t>
            </w:r>
            <w:r/>
          </w:p>
        </w:tc>
        <w:tc>
          <w:tcPr>
            <w:tcBorders/>
            <w:tcW w:w="7654" w:type="dxa"/>
          </w:tcPr>
          <w:p>
            <w:pPr>
              <w:pBdr/>
              <w:spacing w:after="40" w:before="40"/>
              <w:ind/>
              <w:jc w:val="left"/>
              <w:rPr/>
            </w:pPr>
            <w:r>
              <w:rPr>
                <w:rFonts w:ascii="Calibri" w:hAnsi="Calibri"/>
                <w:b w:val="0"/>
                <w:color w:val="333333"/>
                <w:sz w:val="19"/>
              </w:rPr>
              <w:t xml:space="preserve">If a rollback occurs, the revert PR references the same Change Request ID, and the middleware records the rollback evidence and timestamp.</w:t>
            </w:r>
            <w:r/>
          </w:p>
        </w:tc>
      </w:tr>
    </w:tbl>
    <w:p>
      <w:pPr>
        <w:pStyle w:val="694"/>
        <w:pBdr/>
        <w:spacing/>
        <w:ind/>
        <w:rPr/>
      </w:pPr>
      <w:r>
        <w:t xml:space="preserve">4.3 Non-Code Changes</w:t>
      </w:r>
      <w:r/>
    </w:p>
    <w:p>
      <w:pPr>
        <w:pBdr/>
        <w:spacing/>
        <w:ind/>
        <w:rPr/>
      </w:pPr>
      <w:r>
        <w:t>Infrastructure, hardware, vendor, and configuration changes follow the exact same ERPNext Change Request workflow. No separate process, no separate tool. The implementation evidence differs (Ansible run output, vendor ticket ID, network config diff), but the governance model is identical. Resolution of the §7 trigger contradiction: identical workflow for all changes (code and non-code) for now; revisit if non-code changes exceed ~20% of total change volume.</w:t>
      </w:r>
    </w:p>
    <w:p>
      <w:pPr/>
      <w:r>
        <w:t>Standard (pre-approved) change class: routine, low-risk changes with documented runbooks may be pre-approved and skip the approval step; they still require a Change Request record and evidence capture.</w:t>
      </w:r>
    </w:p>
    <w:p>
      <w:pPr/>
      <w:r>
        <w:t>Break-glass path for Emergency changes: only named roles (e.g., Change Manager, CTO, or Incident Commander) may invoke break-glass. Every invocation is auto-logged (timestamp, invoker, reason). A retrospective review is required within 24 hours. Author ≠ approver: no self-approval — the person who creates a Change Request cannot be its approver.</w:t>
      </w:r>
    </w:p>
    <w:p>
      <w:pPr>
        <w:pBdr>
          <w:bottom w:val="single" w:color="1a3c6e" w:sz="6" w:space="1"/>
        </w:pBdr>
        <w:spacing w:after="40" w:before="40"/>
        <w:ind/>
        <w:rPr/>
      </w:pPr>
      <w:r/>
      <w:r/>
    </w:p>
    <w:p>
      <w:pPr>
        <w:pStyle w:val="693"/>
        <w:pBdr/>
        <w:spacing/>
        <w:ind/>
        <w:rPr/>
      </w:pPr>
      <w:r>
        <w:t xml:space="preserve">5. Service Topology &amp; Dependency Mapping</w:t>
      </w:r>
      <w:r/>
    </w:p>
    <w:p>
      <w:pPr>
        <w:pStyle w:val="694"/>
        <w:pBdr/>
        <w:spacing/>
        <w:ind/>
        <w:rPr/>
      </w:pPr>
      <w:r>
        <w:t xml:space="preserve">5.1 Modern Approach: Live + Version-Controlled</w:t>
      </w:r>
      <w:r/>
    </w:p>
    <w:p>
      <w:pPr>
        <w:pBdr/>
        <w:spacing/>
        <w:ind/>
        <w:rPr/>
      </w:pPr>
      <w:r>
        <w:t>We reject the traditional, manually-maintained enterprise CMDB as a prerequisite for service visibility. Instead, we employ a dual-layer topology strategy that is always current, requires no dedicated CMDB administration, and satisfies the intent of INT-004 and INT-005 — with the caveat below on Service Graphs coverage.</w:t>
      </w:r>
    </w:p>
    <w:tbl>
      <w:tblPr>
        <w:tblStyle w:val="753"/>
        <w:jc w:val="center"/>
        <w:tblW w:w="0" w:type="auto"/>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340"/>
        <w:gridCol w:w="2340"/>
        <w:gridCol w:w="2340"/>
        <w:gridCol w:w="2340"/>
      </w:tblGrid>
      <w:tr>
        <w:trPr/>
        <w:tc>
          <w:tcPr>
            <w:shd w:val="clear" w:color="auto" w:fill="2e75b6"/>
            <w:tcBorders/>
            <w:tcW w:w="1984" w:type="dxa"/>
          </w:tcPr>
          <w:p>
            <w:pPr>
              <w:pBdr/>
              <w:spacing w:after="40" w:before="40"/>
              <w:ind/>
              <w:jc w:val="left"/>
              <w:rPr/>
            </w:pPr>
            <w:r>
              <w:rPr>
                <w:rFonts w:ascii="Calibri" w:hAnsi="Calibri"/>
                <w:b/>
                <w:color w:val="ffffff"/>
                <w:sz w:val="20"/>
              </w:rPr>
              <w:t xml:space="preserve">Layer</w:t>
            </w:r>
            <w:r/>
          </w:p>
        </w:tc>
        <w:tc>
          <w:tcPr>
            <w:shd w:val="clear" w:color="auto" w:fill="2e75b6"/>
            <w:tcBorders/>
            <w:tcW w:w="2268" w:type="dxa"/>
          </w:tcPr>
          <w:p>
            <w:pPr>
              <w:pBdr/>
              <w:spacing w:after="40" w:before="40"/>
              <w:ind/>
              <w:jc w:val="left"/>
              <w:rPr/>
            </w:pPr>
            <w:r>
              <w:rPr>
                <w:rFonts w:ascii="Calibri" w:hAnsi="Calibri"/>
                <w:b/>
                <w:color w:val="ffffff"/>
                <w:sz w:val="20"/>
              </w:rPr>
              <w:t xml:space="preserve">Technology</w:t>
            </w:r>
            <w:r/>
          </w:p>
        </w:tc>
        <w:tc>
          <w:tcPr>
            <w:shd w:val="clear" w:color="auto" w:fill="2e75b6"/>
            <w:tcBorders/>
            <w:tcW w:w="3969" w:type="dxa"/>
          </w:tcPr>
          <w:p>
            <w:pPr>
              <w:pBdr/>
              <w:spacing w:after="40" w:before="40"/>
              <w:ind/>
              <w:jc w:val="left"/>
              <w:rPr/>
            </w:pPr>
            <w:r>
              <w:rPr>
                <w:rFonts w:ascii="Calibri" w:hAnsi="Calibri"/>
                <w:b/>
                <w:color w:val="ffffff"/>
                <w:sz w:val="20"/>
              </w:rPr>
              <w:t xml:space="preserve">Purpose</w:t>
            </w:r>
            <w:r/>
          </w:p>
        </w:tc>
        <w:tc>
          <w:tcPr>
            <w:shd w:val="clear" w:color="auto" w:fill="2e75b6"/>
            <w:tcBorders/>
            <w:tcW w:w="1984" w:type="dxa"/>
          </w:tcPr>
          <w:p>
            <w:pPr>
              <w:pBdr/>
              <w:spacing w:after="40" w:before="40"/>
              <w:ind/>
              <w:jc w:val="left"/>
              <w:rPr/>
            </w:pPr>
            <w:r>
              <w:rPr>
                <w:rFonts w:ascii="Calibri" w:hAnsi="Calibri"/>
                <w:b/>
                <w:color w:val="ffffff"/>
                <w:sz w:val="20"/>
              </w:rPr>
              <w:t xml:space="preserve">Update Cadence</w:t>
            </w:r>
            <w:r/>
          </w:p>
        </w:tc>
      </w:tr>
      <w:tr>
        <w:trPr/>
        <w:tc>
          <w:tcPr>
            <w:tcBorders/>
            <w:tcW w:w="1984" w:type="dxa"/>
          </w:tcPr>
          <w:p>
            <w:pPr>
              <w:pBdr/>
              <w:spacing w:after="40" w:before="40"/>
              <w:ind/>
              <w:jc w:val="left"/>
              <w:rPr/>
            </w:pPr>
            <w:r>
              <w:rPr>
                <w:b/>
              </w:rPr>
            </w:r>
            <w:r>
              <w:rPr>
                <w:rFonts w:ascii="Calibri" w:hAnsi="Calibri"/>
                <w:b/>
                <w:color w:val="333333"/>
                <w:sz w:val="19"/>
              </w:rPr>
              <w:t xml:space="preserve">Live Dependency Map</w:t>
            </w:r>
            <w:r/>
          </w:p>
        </w:tc>
        <w:tc>
          <w:tcPr>
            <w:tcBorders/>
            <w:tcW w:w="2268" w:type="dxa"/>
          </w:tcPr>
          <w:p>
            <w:pPr>
              <w:pBdr/>
              <w:spacing w:after="40" w:before="40"/>
              <w:ind/>
              <w:jc w:val="left"/>
              <w:rPr/>
            </w:pPr>
            <w:r>
              <w:rPr>
                <w:rFonts w:ascii="Calibri" w:hAnsi="Calibri"/>
                <w:b w:val="0"/>
                <w:color w:val="333333"/>
                <w:sz w:val="19"/>
              </w:rPr>
              <w:t xml:space="preserve">Grafana Service Graphs (powered by OpenTelemetry traces)</w:t>
            </w:r>
            <w:r/>
          </w:p>
        </w:tc>
        <w:tc>
          <w:tcPr>
            <w:tcBorders/>
            <w:tcW w:w="3969" w:type="dxa"/>
          </w:tcPr>
          <w:p>
            <w:pPr>
              <w:pBdr/>
              <w:spacing w:after="40" w:before="40"/>
              <w:ind/>
              <w:jc w:val="left"/>
              <w:rPr/>
            </w:pPr>
            <w:r>
              <w:rPr>
                <w:rFonts w:ascii="Calibri" w:hAnsi="Calibri"/>
                <w:b w:val="0"/>
                <w:color w:val="333333"/>
                <w:sz w:val="19"/>
              </w:rPr>
              <w:t xml:space="preserve">Real-time, auto-generated view of service-to-service calls, latency, error rates, and throughput. Shows actual runtime dependencies.</w:t>
            </w:r>
            <w:r/>
          </w:p>
        </w:tc>
        <w:tc>
          <w:tcPr>
            <w:tcBorders/>
            <w:tcW w:w="1984" w:type="dxa"/>
          </w:tcPr>
          <w:p>
            <w:pPr>
              <w:pBdr/>
              <w:spacing w:after="40" w:before="40"/>
              <w:ind/>
              <w:jc w:val="left"/>
              <w:rPr/>
            </w:pPr>
            <w:r>
              <w:rPr>
                <w:rFonts w:ascii="Calibri" w:hAnsi="Calibri"/>
                <w:b w:val="0"/>
                <w:color w:val="333333"/>
                <w:sz w:val="19"/>
              </w:rPr>
              <w:t xml:space="preserve">Continuous (driven by live trace ingestion)</w:t>
            </w:r>
            <w:r/>
          </w:p>
        </w:tc>
      </w:tr>
      <w:tr>
        <w:trPr/>
        <w:tc>
          <w:tcPr>
            <w:tcBorders/>
            <w:tcW w:w="1984" w:type="dxa"/>
          </w:tcPr>
          <w:p>
            <w:pPr>
              <w:pBdr/>
              <w:spacing w:after="40" w:before="40"/>
              <w:ind/>
              <w:jc w:val="left"/>
              <w:rPr/>
            </w:pPr>
            <w:r>
              <w:rPr>
                <w:b/>
              </w:rPr>
            </w:r>
            <w:r>
              <w:rPr>
                <w:rFonts w:ascii="Calibri" w:hAnsi="Calibri"/>
                <w:b/>
                <w:color w:val="333333"/>
                <w:sz w:val="19"/>
              </w:rPr>
              <w:t xml:space="preserve">Architecture Reference Map</w:t>
            </w:r>
            <w:r/>
          </w:p>
        </w:tc>
        <w:tc>
          <w:tcPr>
            <w:tcBorders/>
            <w:tcW w:w="2268" w:type="dxa"/>
          </w:tcPr>
          <w:p>
            <w:pPr>
              <w:pBdr/>
              <w:spacing w:after="40" w:before="40"/>
              <w:ind/>
              <w:jc w:val="left"/>
              <w:rPr/>
            </w:pPr>
            <w:r>
              <w:rPr>
                <w:rFonts w:ascii="Calibri" w:hAnsi="Calibri"/>
                <w:b w:val="0"/>
                <w:color w:val="333333"/>
                <w:sz w:val="19"/>
              </w:rPr>
              <w:t xml:space="preserve">Diagram-as-Code (Mermaid.js in Git)</w:t>
            </w:r>
            <w:r/>
          </w:p>
        </w:tc>
        <w:tc>
          <w:tcPr>
            <w:tcBorders/>
            <w:tcW w:w="3969" w:type="dxa"/>
          </w:tcPr>
          <w:p>
            <w:pPr>
              <w:pBdr/>
              <w:spacing w:after="40" w:before="40"/>
              <w:ind/>
              <w:jc w:val="left"/>
              <w:rPr/>
            </w:pPr>
            <w:r>
              <w:rPr>
                <w:rFonts w:ascii="Calibri" w:hAnsi="Calibri"/>
                <w:b w:val="0"/>
                <w:color w:val="333333"/>
                <w:sz w:val="19"/>
              </w:rPr>
              <w:t xml:space="preserve">Version-controlled, high-level architecture diagrams: system context, deployment topology, data flows, trust boundaries. Reviewed and approved in Git PRs.</w:t>
            </w:r>
            <w:r/>
          </w:p>
        </w:tc>
        <w:tc>
          <w:tcPr>
            <w:tcBorders/>
            <w:tcW w:w="1984" w:type="dxa"/>
          </w:tcPr>
          <w:p>
            <w:pPr>
              <w:pBdr/>
              <w:spacing w:after="40" w:before="40"/>
              <w:ind/>
              <w:jc w:val="left"/>
              <w:rPr/>
            </w:pPr>
            <w:r>
              <w:rPr>
                <w:rFonts w:ascii="Calibri" w:hAnsi="Calibri"/>
                <w:b w:val="0"/>
                <w:color w:val="333333"/>
                <w:sz w:val="19"/>
              </w:rPr>
              <w:t xml:space="preserve">On architectural change (Git commit)</w:t>
            </w:r>
            <w:r/>
          </w:p>
        </w:tc>
      </w:tr>
    </w:tbl>
    <w:p>
      <w:pPr/>
      <w:r>
        <w:t>Service Graph coverage limit: Grafana Service Graphs only cover instrumented request paths (client-server spans with peer.service attributes). They do NOT cover hardware, vendors, network devices, databases, message queues, or any uninstrumented component. Therefore INT-004 and INT-005 are only partially satisfied by Service Graphs alone. The Service registry doctype (§5.3) covers the rest via manual entries.</w:t>
      </w:r>
    </w:p>
    <w:p>
      <w:pPr>
        <w:pStyle w:val="694"/>
        <w:pBdr/>
        <w:spacing/>
        <w:ind/>
        <w:rPr/>
      </w:pPr>
      <w:r>
        <w:t xml:space="preserve">5.2 Integration with Incident &amp; Change Management</w:t>
      </w:r>
      <w:r/>
    </w:p>
    <w:p>
      <w:pPr>
        <w:pStyle w:val="723"/>
        <w:pBdr/>
        <w:spacing/>
        <w:ind/>
        <w:rPr/>
      </w:pPr>
      <w:r>
        <w:t>Incident Enrichment: The Frappe custom app endpoint tags ERPNext tickets with the Grafana service label (from alert labels) and links the ticket to the Service registry doctype (§5.3) as a structured link instead of a free-text label.</w:t>
      </w:r>
    </w:p>
    <w:p>
      <w:pPr>
        <w:pStyle w:val="723"/>
        <w:pBdr/>
        <w:spacing/>
        <w:ind/>
        <w:rPr/>
      </w:pPr>
      <w:r>
        <w:t>Change Impact Assessment: Change Request authors consult the live Service Graph and the Mermaid architecture maps to identify blast radius. Affected services are recorded as structured links to the Service registry doctype (§5.3) on the Change Request.</w:t>
      </w:r>
    </w:p>
    <w:p>
      <w:pPr>
        <w:pStyle w:val="723"/>
        <w:pBdr/>
        <w:spacing/>
        <w:ind/>
        <w:rPr/>
      </w:pPr>
      <w:r>
        <w:t>On-Call Routing: Service labels from the topology feed routing to the correct owning team via the dedicated on-call product (§9), not via custom code in the Frappe endpoint.</w:t>
      </w:r>
    </w:p>
    <w:p>
      <w:pPr>
        <w:pBdr>
          <w:bottom w:val="single" w:color="1a3c6e" w:sz="6" w:space="1"/>
        </w:pBdr>
        <w:spacing w:after="40" w:before="40"/>
        <w:ind/>
        <w:rPr/>
      </w:pPr>
      <w:r/>
      <w:r/>
    </w:p>
    <w:p>
      <w:pPr>
        <w:pStyle w:val="694"/>
      </w:pPr>
      <w:r>
        <w:t>5.3 Service Registry</w:t>
      </w:r>
    </w:p>
    <w:p>
      <w:pPr/>
      <w:r>
        <w:t>Add a Service doctype in ERPNext with fields: name, owning team, runbook URL, tier. The Service registry is sourced from a YAML file in Git and synced to ERPNext. Change Requests and tickets link to the Service doctype as a structured link instead of using free-text labels. Make this a Phase 1 deliverable.</w:t>
      </w:r>
    </w:p>
    <w:p>
      <w:pPr/>
      <w:r>
        <w:t>Service doctype table:</w:t>
      </w:r>
    </w:p>
    <w:tbl>
      <w:tblPr>
        <w:tblStyle w:val="753"/>
        <w:tblW w:type="auto" w:w="0"/>
        <w:tblLook w:firstColumn="1" w:firstRow="1" w:lastColumn="0" w:lastRow="0" w:noHBand="0" w:noVBand="1" w:val="04A0"/>
      </w:tblPr>
      <w:tblGrid>
        <w:gridCol w:w="3120"/>
        <w:gridCol w:w="3120"/>
        <w:gridCol w:w="3120"/>
      </w:tblGrid>
      <w:tr>
        <w:tc>
          <w:tcPr>
            <w:tcW w:type="dxa" w:w="3120"/>
          </w:tcPr>
          <w:p>
            <w:r>
              <w:t>Field</w:t>
            </w:r>
          </w:p>
        </w:tc>
        <w:tc>
          <w:tcPr>
            <w:tcW w:type="dxa" w:w="3120"/>
          </w:tcPr>
          <w:p>
            <w:r>
              <w:t>Type</w:t>
            </w:r>
          </w:p>
        </w:tc>
        <w:tc>
          <w:tcPr>
            <w:tcW w:type="dxa" w:w="3120"/>
          </w:tcPr>
          <w:p>
            <w:r>
              <w:t>Description</w:t>
            </w:r>
          </w:p>
        </w:tc>
      </w:tr>
      <w:tr>
        <w:tc>
          <w:tcPr>
            <w:tcW w:type="dxa" w:w="3120"/>
          </w:tcPr>
          <w:p>
            <w:r>
              <w:t>name</w:t>
            </w:r>
          </w:p>
        </w:tc>
        <w:tc>
          <w:tcPr>
            <w:tcW w:type="dxa" w:w="3120"/>
          </w:tcPr>
          <w:p>
            <w:r>
              <w:t>Data (unique)</w:t>
            </w:r>
          </w:p>
        </w:tc>
        <w:tc>
          <w:tcPr>
            <w:tcW w:type="dxa" w:w="3120"/>
          </w:tcPr>
          <w:p>
            <w:r>
              <w:t>Service name / identifier</w:t>
            </w:r>
          </w:p>
        </w:tc>
      </w:tr>
      <w:tr>
        <w:tc>
          <w:tcPr>
            <w:tcW w:type="dxa" w:w="3120"/>
          </w:tcPr>
          <w:p>
            <w:r>
              <w:t>owning team</w:t>
            </w:r>
          </w:p>
        </w:tc>
        <w:tc>
          <w:tcPr>
            <w:tcW w:type="dxa" w:w="3120"/>
          </w:tcPr>
          <w:p>
            <w:r>
              <w:t>Link</w:t>
            </w:r>
          </w:p>
        </w:tc>
        <w:tc>
          <w:tcPr>
            <w:tcW w:type="dxa" w:w="3120"/>
          </w:tcPr>
          <w:p>
            <w:r>
              <w:t>Team that owns the service</w:t>
            </w:r>
          </w:p>
        </w:tc>
      </w:tr>
      <w:tr>
        <w:tc>
          <w:tcPr>
            <w:tcW w:type="dxa" w:w="3120"/>
          </w:tcPr>
          <w:p>
            <w:r>
              <w:t>runbook URL</w:t>
            </w:r>
          </w:p>
        </w:tc>
        <w:tc>
          <w:tcPr>
            <w:tcW w:type="dxa" w:w="3120"/>
          </w:tcPr>
          <w:p>
            <w:r>
              <w:t>Data</w:t>
            </w:r>
          </w:p>
        </w:tc>
        <w:tc>
          <w:tcPr>
            <w:tcW w:type="dxa" w:w="3120"/>
          </w:tcPr>
          <w:p>
            <w:r>
              <w:t>URL to the runbook for the service</w:t>
            </w:r>
          </w:p>
        </w:tc>
      </w:tr>
      <w:tr>
        <w:tc>
          <w:tcPr>
            <w:tcW w:type="dxa" w:w="3120"/>
          </w:tcPr>
          <w:p>
            <w:r>
              <w:t>tier</w:t>
            </w:r>
          </w:p>
        </w:tc>
        <w:tc>
          <w:tcPr>
            <w:tcW w:type="dxa" w:w="3120"/>
          </w:tcPr>
          <w:p>
            <w:r>
              <w:t>Select</w:t>
            </w:r>
          </w:p>
        </w:tc>
        <w:tc>
          <w:tcPr>
            <w:tcW w:type="dxa" w:w="3120"/>
          </w:tcPr>
          <w:p>
            <w:r>
              <w:t>Service tier (e.g., Tier 1 / Tier 2 / Tier 3)</w:t>
            </w:r>
          </w:p>
        </w:tc>
      </w:tr>
    </w:tbl>
    <w:p>
      <w:pPr>
        <w:pStyle w:val="693"/>
        <w:pBdr/>
        <w:spacing/>
        <w:ind/>
        <w:rPr/>
      </w:pPr>
      <w:r>
        <w:t xml:space="preserve">6. Implementation Phases</w:t>
      </w:r>
      <w:r/>
    </w:p>
    <w:tbl>
      <w:tblPr>
        <w:tblStyle w:val="753"/>
        <w:jc w:val="center"/>
        <w:tblW w:w="0" w:type="auto"/>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1872"/>
        <w:gridCol w:w="1872"/>
        <w:gridCol w:w="1872"/>
        <w:gridCol w:w="1872"/>
        <w:gridCol w:w="1872"/>
      </w:tblGrid>
      <w:tr>
        <w:trPr/>
        <w:tc>
          <w:tcPr>
            <w:shd w:val="clear" w:color="auto" w:fill="2e75b6"/>
            <w:tcBorders/>
            <w:tcW w:w="1417" w:type="dxa"/>
          </w:tcPr>
          <w:p>
            <w:pPr>
              <w:pBdr/>
              <w:spacing w:after="40" w:before="40"/>
              <w:ind/>
              <w:jc w:val="left"/>
              <w:rPr/>
            </w:pPr>
            <w:r>
              <w:rPr>
                <w:rFonts w:ascii="Calibri" w:hAnsi="Calibri"/>
                <w:b/>
                <w:color w:val="ffffff"/>
                <w:sz w:val="18"/>
              </w:rPr>
              <w:t xml:space="preserve">Phase</w:t>
            </w:r>
            <w:r/>
          </w:p>
        </w:tc>
        <w:tc>
          <w:tcPr>
            <w:shd w:val="clear" w:color="auto" w:fill="2e75b6"/>
            <w:tcBorders/>
            <w:tcW w:w="1134" w:type="dxa"/>
          </w:tcPr>
          <w:p>
            <w:pPr>
              <w:pBdr/>
              <w:spacing w:after="40" w:before="40"/>
              <w:ind/>
              <w:jc w:val="left"/>
              <w:rPr/>
            </w:pPr>
            <w:r>
              <w:rPr>
                <w:rFonts w:ascii="Calibri" w:hAnsi="Calibri"/>
                <w:b/>
                <w:color w:val="ffffff"/>
                <w:sz w:val="18"/>
              </w:rPr>
              <w:t xml:space="preserve">Timeline</w:t>
            </w:r>
            <w:r/>
          </w:p>
        </w:tc>
        <w:tc>
          <w:tcPr>
            <w:shd w:val="clear" w:color="auto" w:fill="2e75b6"/>
            <w:tcBorders/>
            <w:tcW w:w="1701" w:type="dxa"/>
          </w:tcPr>
          <w:p>
            <w:pPr>
              <w:pBdr/>
              <w:spacing w:after="40" w:before="40"/>
              <w:ind/>
              <w:jc w:val="left"/>
              <w:rPr/>
            </w:pPr>
            <w:r>
              <w:rPr>
                <w:rFonts w:ascii="Calibri" w:hAnsi="Calibri"/>
                <w:b/>
                <w:color w:val="ffffff"/>
                <w:sz w:val="18"/>
              </w:rPr>
              <w:t xml:space="preserve">Focus</w:t>
            </w:r>
            <w:r/>
          </w:p>
        </w:tc>
        <w:tc>
          <w:tcPr>
            <w:shd w:val="clear" w:color="auto" w:fill="2e75b6"/>
            <w:tcBorders/>
            <w:tcW w:w="3402" w:type="dxa"/>
          </w:tcPr>
          <w:p>
            <w:pPr>
              <w:pBdr/>
              <w:spacing w:after="40" w:before="40"/>
              <w:ind/>
              <w:jc w:val="left"/>
              <w:rPr/>
            </w:pPr>
            <w:r>
              <w:rPr>
                <w:rFonts w:ascii="Calibri" w:hAnsi="Calibri"/>
                <w:b/>
                <w:color w:val="ffffff"/>
                <w:sz w:val="18"/>
              </w:rPr>
              <w:t xml:space="preserve">Key Deliverables</w:t>
            </w:r>
            <w:r/>
          </w:p>
        </w:tc>
        <w:tc>
          <w:tcPr>
            <w:shd w:val="clear" w:color="auto" w:fill="2e75b6"/>
            <w:tcBorders/>
            <w:tcW w:w="2551" w:type="dxa"/>
          </w:tcPr>
          <w:p>
            <w:pPr>
              <w:pBdr/>
              <w:spacing w:after="40" w:before="40"/>
              <w:ind/>
              <w:jc w:val="left"/>
              <w:rPr/>
            </w:pPr>
            <w:r>
              <w:rPr>
                <w:rFonts w:ascii="Calibri" w:hAnsi="Calibri"/>
                <w:b/>
                <w:color w:val="ffffff"/>
                <w:sz w:val="18"/>
              </w:rPr>
              <w:t xml:space="preserve">Acceptance Criteria</w:t>
            </w:r>
            <w:r/>
          </w:p>
        </w:tc>
      </w:tr>
      <w:tr>
        <w:trPr/>
        <w:tc>
          <w:tcPr>
            <w:tcBorders/>
            <w:tcW w:w="1417" w:type="dxa"/>
          </w:tcPr>
          <w:p>
            <w:r>
              <w:t>Phase 1</w:t>
              <w:br/>
              <w:t>Monitoring Pipeline</w:t>
            </w:r>
          </w:p>
        </w:tc>
        <w:tc>
          <w:tcPr>
            <w:tcBorders/>
            <w:tcW w:w="1134" w:type="dxa"/>
          </w:tcPr>
          <w:p>
            <w:r>
              <w:t>Weeks 1–4 (estimate, to be confirmed by the team during planning)</w:t>
            </w:r>
          </w:p>
        </w:tc>
        <w:tc>
          <w:tcPr>
            <w:tcBorders/>
            <w:tcW w:w="1701" w:type="dxa"/>
          </w:tcPr>
          <w:p>
            <w:r>
              <w:t>Automated Incident Creation</w:t>
            </w:r>
          </w:p>
        </w:tc>
        <w:tc>
          <w:tcPr>
            <w:tcBorders/>
            <w:tcW w:w="3402" w:type="dxa"/>
          </w:tcPr>
          <w:p>
            <w:r>
              <w:t>• Frappe custom app endpoint (/api/method/itsm_integration.webhook.ingest) deployed as part of ERPNext</w:t>
              <w:br/>
              <w:t>• Grafana → ERPNext webhook flow</w:t>
              <w:br/>
              <w:t>• Alert fingerprint deduplication (unique indexed custom field on HD Ticket)</w:t>
              <w:br/>
              <w:t>• Severity→Priority mapping</w:t>
              <w:br/>
              <w:t>• Auto-resolve on recovery (P1/P2 require human closure)</w:t>
              <w:br/>
              <w:t>• SLA policies configured in ERPNext Helpdesk</w:t>
              <w:br/>
              <w:t>• Service registry doctype (name, owning team, runbook URL, tier) from YAML in Git, synced to ERPNext</w:t>
              <w:br/>
              <w:t>• Change Requests and tickets link to Service as structured link</w:t>
              <w:br/>
              <w:t>• Backup/restore testing</w:t>
              <w:br/>
              <w:t>• Access control hardening</w:t>
              <w:br/>
              <w:t>• Least-privilege ERPNext API user for the ingestion endpoint</w:t>
              <w:br/>
              <w:t>• Webhook authentication (HMAC or token validation)</w:t>
              <w:br/>
              <w:t>• ERPNext/Helpdesk version pinning</w:t>
              <w:br/>
              <w:t>• Integration-failure tests (AC-008 through AC-012)</w:t>
              <w:br/>
              <w:t>• Lighter alternative: Frappe server script (no custom app) can receive the webhook directly; trade-off: server scripts are harder to test and version-control than a custom app module</w:t>
            </w:r>
          </w:p>
        </w:tc>
        <w:tc>
          <w:tcPr>
            <w:tcBorders/>
            <w:tcW w:w="2551" w:type="dxa"/>
          </w:tcPr>
          <w:p>
            <w:r>
              <w:t>AC-002: Monitoring event creates correctly prioritised incident without unwanted duplicates</w:t>
              <w:br/>
              <w:t>AC-008–AC-012: Integration resilience, backup/restore, audit exports, access controls validated</w:t>
            </w:r>
          </w:p>
        </w:tc>
      </w:tr>
      <w:tr>
        <w:trPr/>
        <w:tc>
          <w:tcPr>
            <w:tcBorders/>
            <w:tcW w:w="1417" w:type="dxa"/>
          </w:tcPr>
          <w:p>
            <w:pPr>
              <w:pBdr/>
              <w:spacing w:after="40" w:before="40"/>
              <w:ind/>
              <w:jc w:val="left"/>
              <w:rPr/>
            </w:pPr>
            <w:r>
              <w:rPr>
                <w:b/>
              </w:rPr>
            </w:r>
            <w:r>
              <w:rPr>
                <w:rFonts w:ascii="Calibri" w:hAnsi="Calibri"/>
                <w:b/>
                <w:color w:val="333333"/>
                <w:sz w:val="17"/>
              </w:rPr>
              <w:t xml:space="preserve">Phase 2</w:t>
              <w:br/>
              <w:t xml:space="preserve">Unified Change Management</w:t>
            </w:r>
            <w:r/>
          </w:p>
        </w:tc>
        <w:tc>
          <w:tcPr>
            <w:tcBorders/>
            <w:tcW w:w="1134" w:type="dxa"/>
          </w:tcPr>
          <w:p>
            <w:pPr>
              <w:pBdr/>
              <w:spacing w:after="40" w:before="40"/>
              <w:ind/>
              <w:jc w:val="left"/>
              <w:rPr/>
            </w:pPr>
            <w:r>
              <w:rPr>
                <w:rFonts w:ascii="Calibri" w:hAnsi="Calibri"/>
                <w:b w:val="0"/>
                <w:color w:val="333333"/>
                <w:sz w:val="17"/>
              </w:rPr>
              <w:t xml:space="preserve">Weeks 3–4</w:t>
            </w:r>
            <w:r/>
          </w:p>
        </w:tc>
        <w:tc>
          <w:tcPr>
            <w:tcBorders/>
            <w:tcW w:w="1701" w:type="dxa"/>
          </w:tcPr>
          <w:p>
            <w:pPr>
              <w:pBdr/>
              <w:spacing w:after="40" w:before="40"/>
              <w:ind/>
              <w:jc w:val="left"/>
              <w:rPr/>
            </w:pPr>
            <w:r>
              <w:rPr>
                <w:rFonts w:ascii="Calibri" w:hAnsi="Calibri"/>
                <w:b w:val="0"/>
                <w:color w:val="333333"/>
                <w:sz w:val="17"/>
              </w:rPr>
              <w:t xml:space="preserve">Single Change Process for All Changes</w:t>
            </w:r>
            <w:r/>
          </w:p>
        </w:tc>
        <w:tc>
          <w:tcPr>
            <w:tcBorders/>
            <w:tcW w:w="3402" w:type="dxa"/>
          </w:tcPr>
          <w:p>
            <w:pPr>
              <w:pBdr/>
              <w:spacing w:after="40" w:before="40"/>
              <w:ind/>
              <w:jc w:val="left"/>
              <w:rPr/>
            </w:pPr>
            <w:r>
              <w:rPr>
                <w:rFonts w:ascii="Calibri" w:hAnsi="Calibri"/>
                <w:b w:val="0"/>
                <w:color w:val="333333"/>
                <w:sz w:val="17"/>
              </w:rPr>
              <w:t xml:space="preserve">• ERPNext Change Request Custom DocType deployed</w:t>
              <w:br/>
              <w:t xml:space="preserve">• Workflow + approval chains configured</w:t>
              <w:br/>
              <w:t xml:space="preserve">• Risk assessment matrix implemented</w:t>
              <w:br/>
              <w:t xml:space="preserve">• Git PR ↔ Change Request linkage</w:t>
              <w:br/>
              <w:t xml:space="preserve">• Non-code change templates added</w:t>
            </w:r>
            <w:r/>
          </w:p>
        </w:tc>
        <w:tc>
          <w:tcPr>
            <w:tcBorders/>
            <w:tcW w:w="2551" w:type="dxa"/>
          </w:tcPr>
          <w:p>
            <w:pPr>
              <w:pBdr/>
              <w:spacing w:after="40" w:before="40"/>
              <w:ind/>
              <w:jc w:val="left"/>
              <w:rPr/>
            </w:pPr>
            <w:r>
              <w:rPr>
                <w:rFonts w:ascii="Calibri" w:hAnsi="Calibri"/>
                <w:b w:val="0"/>
                <w:color w:val="333333"/>
                <w:sz w:val="17"/>
              </w:rPr>
              <w:t xml:space="preserve">AC-004: Normal change cannot proceed before required approvals</w:t>
              <w:br/>
              <w:t xml:space="preserve">AC-005: Emergency change records authorization &amp; requires retrospective review</w:t>
            </w:r>
            <w:r/>
          </w:p>
        </w:tc>
      </w:tr>
      <w:tr>
        <w:trPr/>
        <w:tc>
          <w:tcPr>
            <w:tcBorders/>
            <w:tcW w:w="1417" w:type="dxa"/>
          </w:tcPr>
          <w:p>
            <w:r>
              <w:t>Phase 3</w:t>
              <w:br/>
              <w:t>On-Call &amp; Topology</w:t>
            </w:r>
          </w:p>
        </w:tc>
        <w:tc>
          <w:tcPr>
            <w:tcBorders/>
            <w:tcW w:w="1134" w:type="dxa"/>
          </w:tcPr>
          <w:p>
            <w:r>
              <w:t>Weeks 5–10 (estimate, to be confirmed by the team during planning)</w:t>
            </w:r>
          </w:p>
        </w:tc>
        <w:tc>
          <w:tcPr>
            <w:tcBorders/>
            <w:tcW w:w="1701" w:type="dxa"/>
          </w:tcPr>
          <w:p>
            <w:r>
              <w:t>Operational Readiness &amp; Service View</w:t>
            </w:r>
          </w:p>
        </w:tc>
        <w:tc>
          <w:tcPr>
            <w:tcBorders/>
            <w:tcW w:w="3402" w:type="dxa"/>
          </w:tcPr>
          <w:p>
            <w:r>
              <w:t>• On-call rotation schedule via dedicated on-call product (DECISION NEEDED: Grafana Cloud IRM, PagerDuty, or other; Opsgenie being wound down — verify current status)</w:t>
              <w:br/>
              <w:t>• Grafana Service Graphs enabled — OpenTelemetry instrumentation scoped to named pilot services only (broader rollout is a separate workstream; extend Phase 3 or scope OTel to pilot services)</w:t>
              <w:br/>
              <w:t>• Initial Mermaid diagrams committed to Git</w:t>
              <w:br/>
              <w:t>• Major incident flag &amp; coordinated response workflow in ERPNext</w:t>
            </w:r>
          </w:p>
        </w:tc>
        <w:tc>
          <w:tcPr>
            <w:tcBorders/>
            <w:tcW w:w="2551" w:type="dxa"/>
          </w:tcPr>
          <w:p>
            <w:r>
              <w:t>AC-003: Escalation &amp; notification for overdue incidents</w:t>
              <w:br/>
              <w:t>AC-007: Ticket linked to service/CI; relationship visible &amp; traceable</w:t>
            </w:r>
          </w:p>
        </w:tc>
      </w:tr>
      <w:tr>
        <w:trPr/>
        <w:tc>
          <w:tcPr>
            <w:tcBorders/>
            <w:tcW w:w="1417" w:type="dxa"/>
          </w:tcPr>
          <w:p>
            <w:pPr>
              <w:pBdr/>
              <w:spacing w:after="40" w:before="40"/>
              <w:ind/>
              <w:jc w:val="left"/>
              <w:rPr/>
            </w:pPr>
            <w:r>
              <w:rPr>
                <w:b/>
              </w:rPr>
            </w:r>
            <w:r>
              <w:rPr>
                <w:rFonts w:ascii="Calibri" w:hAnsi="Calibri"/>
                <w:b/>
                <w:color w:val="333333"/>
                <w:sz w:val="17"/>
              </w:rPr>
              <w:t xml:space="preserve">Phase 4</w:t>
              <w:br/>
              <w:t xml:space="preserve">Advanced Modules</w:t>
            </w:r>
            <w:r/>
          </w:p>
        </w:tc>
        <w:tc>
          <w:tcPr>
            <w:tcBorders/>
            <w:tcW w:w="1134" w:type="dxa"/>
          </w:tcPr>
          <w:p>
            <w:pPr>
              <w:pBdr/>
              <w:spacing w:after="40" w:before="40"/>
              <w:ind/>
              <w:jc w:val="left"/>
              <w:rPr/>
            </w:pPr>
            <w:r>
              <w:rPr>
                <w:rFonts w:ascii="Calibri" w:hAnsi="Calibri"/>
                <w:b w:val="0"/>
                <w:color w:val="333333"/>
                <w:sz w:val="17"/>
              </w:rPr>
              <w:t xml:space="preserve">Future (Trigger-Based)</w:t>
            </w:r>
            <w:r/>
          </w:p>
        </w:tc>
        <w:tc>
          <w:tcPr>
            <w:tcBorders/>
            <w:tcW w:w="1701" w:type="dxa"/>
          </w:tcPr>
          <w:p>
            <w:pPr>
              <w:pBdr/>
              <w:spacing w:after="40" w:before="40"/>
              <w:ind/>
              <w:jc w:val="left"/>
              <w:rPr/>
            </w:pPr>
            <w:r>
              <w:rPr>
                <w:rFonts w:ascii="Calibri" w:hAnsi="Calibri"/>
                <w:b w:val="0"/>
                <w:color w:val="333333"/>
                <w:sz w:val="17"/>
              </w:rPr>
              <w:t xml:space="preserve">Maturity Expansion</w:t>
            </w:r>
            <w:r/>
          </w:p>
        </w:tc>
        <w:tc>
          <w:tcPr>
            <w:tcBorders/>
            <w:tcW w:w="3402" w:type="dxa"/>
          </w:tcPr>
          <w:p>
            <w:r>
              <w:t>• Lightweight asset inventory (NetBox/Snipe-IT) if asset visibility trigger met</w:t>
              <w:br/>
              <w:t>• Dedicated on-call routing if team structure trigger met (now handled by on-call product decision)</w:t>
              <w:br/>
              <w:t>• Problem Management &amp; Service Catalog if volume/complexity warrants</w:t>
              <w:br/>
              <w:t>• GRC integration if compliance scope expands</w:t>
              <w:br/>
              <w:t>(Backup/restore testing, access control hardening, least-privilege API user, webhook auth, version pinning, and integration-failure tests moved to Phase 1.)</w:t>
            </w:r>
          </w:p>
        </w:tc>
        <w:tc>
          <w:tcPr>
            <w:tcBorders/>
            <w:tcW w:w="2551" w:type="dxa"/>
          </w:tcPr>
          <w:p>
            <w:r>
              <w:t>AC-008–AC-012 now validated in Phase 1</w:t>
            </w:r>
          </w:p>
        </w:tc>
      </w:tr>
    </w:tbl>
    <w:p>
      <w:pPr>
        <w:pBdr/>
        <w:spacing/>
        <w:ind/>
        <w:rPr/>
      </w:pPr>
      <w:r>
        <w:rPr>
          <w:rFonts w:ascii="Calibri" w:hAnsi="Calibri"/>
          <w:b/>
          <w:color w:val="333333"/>
          <w:sz w:val="22"/>
        </w:rPr>
        <w:t xml:space="preserve">Phase Gate Principle: </w:t>
      </w:r>
      <w:r>
        <w:rPr>
          <w:rFonts w:ascii="Calibri" w:hAnsi="Calibri"/>
          <w:b w:val="0"/>
          <w:color w:val="333333"/>
          <w:sz w:val="22"/>
        </w:rPr>
        <w:t xml:space="preserve">Each phase completes with a documented acceptance test run. Phase N+1 begins only after Phase N acceptance criteria are met and the team has operated the new capability for at least one sprint.</w:t>
      </w:r>
      <w:r/>
    </w:p>
    <w:p>
      <w:pPr>
        <w:pBdr>
          <w:bottom w:val="single" w:color="1a3c6e" w:sz="6" w:space="1"/>
        </w:pBdr>
        <w:spacing w:after="40" w:before="40"/>
        <w:ind/>
        <w:rPr/>
      </w:pPr>
      <w:r/>
      <w:r/>
    </w:p>
    <w:p>
      <w:pPr>
        <w:pStyle w:val="693"/>
        <w:pBdr/>
        <w:spacing/>
        <w:ind/>
        <w:rPr/>
      </w:pPr>
      <w:r>
        <w:t xml:space="preserve">7. Future Scaling</w:t>
      </w:r>
      <w:r/>
    </w:p>
    <w:p>
      <w:pPr>
        <w:pBdr/>
        <w:spacing/>
        <w:ind/>
        <w:rPr/>
      </w:pPr>
      <w:r>
        <w:rPr>
          <w:rFonts w:ascii="Calibri" w:hAnsi="Calibri"/>
          <w:b w:val="0"/>
          <w:color w:val="333333"/>
          <w:sz w:val="22"/>
        </w:rPr>
        <w:t xml:space="preserve">The architecture is designed for measured, trigger-based evolution — not speculative overbuilding.</w:t>
      </w:r>
      <w:r/>
    </w:p>
    <w:tbl>
      <w:tblPr>
        <w:tblStyle w:val="753"/>
        <w:jc w:val="center"/>
        <w:tblW w:w="0" w:type="auto"/>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3120"/>
        <w:gridCol w:w="3120"/>
        <w:gridCol w:w="3120"/>
      </w:tblGrid>
      <w:tr>
        <w:trPr/>
        <w:tc>
          <w:tcPr>
            <w:shd w:val="clear" w:color="auto" w:fill="2e75b6"/>
            <w:tcBorders/>
            <w:tcW w:w="1984" w:type="dxa"/>
          </w:tcPr>
          <w:p>
            <w:pPr>
              <w:pBdr/>
              <w:spacing w:after="40" w:before="40"/>
              <w:ind/>
              <w:jc w:val="left"/>
              <w:rPr/>
            </w:pPr>
            <w:r>
              <w:rPr>
                <w:rFonts w:ascii="Calibri" w:hAnsi="Calibri"/>
                <w:b/>
                <w:color w:val="ffffff"/>
                <w:sz w:val="20"/>
              </w:rPr>
              <w:t xml:space="preserve">Capability</w:t>
            </w:r>
            <w:r/>
          </w:p>
        </w:tc>
        <w:tc>
          <w:tcPr>
            <w:shd w:val="clear" w:color="auto" w:fill="2e75b6"/>
            <w:tcBorders/>
            <w:tcW w:w="3402" w:type="dxa"/>
          </w:tcPr>
          <w:p>
            <w:pPr>
              <w:pBdr/>
              <w:spacing w:after="40" w:before="40"/>
              <w:ind/>
              <w:jc w:val="left"/>
              <w:rPr/>
            </w:pPr>
            <w:r>
              <w:rPr>
                <w:rFonts w:ascii="Calibri" w:hAnsi="Calibri"/>
                <w:b/>
                <w:color w:val="ffffff"/>
                <w:sz w:val="20"/>
              </w:rPr>
              <w:t xml:space="preserve">Scaling Trigger</w:t>
            </w:r>
            <w:r/>
          </w:p>
        </w:tc>
        <w:tc>
          <w:tcPr>
            <w:shd w:val="clear" w:color="auto" w:fill="2e75b6"/>
            <w:tcBorders/>
            <w:tcW w:w="4252" w:type="dxa"/>
          </w:tcPr>
          <w:p>
            <w:pPr>
              <w:pBdr/>
              <w:spacing w:after="40" w:before="40"/>
              <w:ind/>
              <w:jc w:val="left"/>
              <w:rPr/>
            </w:pPr>
            <w:r>
              <w:rPr>
                <w:rFonts w:ascii="Calibri" w:hAnsi="Calibri"/>
                <w:b/>
                <w:color w:val="ffffff"/>
                <w:sz w:val="20"/>
              </w:rPr>
              <w:t xml:space="preserve">Evolution Path</w:t>
            </w:r>
            <w:r/>
          </w:p>
        </w:tc>
      </w:tr>
      <w:tr>
        <w:trPr/>
        <w:tc>
          <w:tcPr>
            <w:tcBorders/>
            <w:tcW w:w="1984" w:type="dxa"/>
          </w:tcPr>
          <w:p>
            <w:pPr>
              <w:pBdr/>
              <w:spacing w:after="40" w:before="40"/>
              <w:ind/>
              <w:jc w:val="left"/>
              <w:rPr/>
            </w:pPr>
            <w:r>
              <w:rPr>
                <w:b/>
              </w:rPr>
            </w:r>
            <w:r>
              <w:rPr>
                <w:rFonts w:ascii="Calibri" w:hAnsi="Calibri"/>
                <w:b/>
                <w:color w:val="333333"/>
                <w:sz w:val="19"/>
              </w:rPr>
              <w:t xml:space="preserve">On-Call Routing</w:t>
            </w:r>
            <w:r/>
          </w:p>
        </w:tc>
        <w:tc>
          <w:tcPr>
            <w:tcBorders/>
            <w:tcW w:w="3402" w:type="dxa"/>
          </w:tcPr>
          <w:p>
            <w:r>
              <w:t>Team splits into 2+ specialised support groups; rotation exceeds primary + backup</w:t>
            </w:r>
          </w:p>
        </w:tc>
        <w:tc>
          <w:tcPr>
            <w:tcBorders/>
            <w:tcW w:w="4252" w:type="dxa"/>
          </w:tcPr>
          <w:p>
            <w:r>
              <w:t>Introduce dedicated incident routing via a dedicated on-call product with native schedule management, overrides, and escalation chains (DECISION NEEDED: Grafana Cloud IRM, PagerDuty, or other — Opsgenie is being wound down, verify current status before selecting). Grafana OnCall OSS was archived on 24 March 2026 and its Cloud Connection for SMS/phone/push ended the same day; the supported successor is Grafana Cloud IRM. Do not design rotation logic inside the Frappe endpoint or any custom code.</w:t>
            </w:r>
          </w:p>
        </w:tc>
      </w:tr>
      <w:tr>
        <w:trPr/>
        <w:tc>
          <w:tcPr>
            <w:tcBorders/>
            <w:tcW w:w="1984" w:type="dxa"/>
          </w:tcPr>
          <w:p>
            <w:pPr>
              <w:pBdr/>
              <w:spacing w:after="40" w:before="40"/>
              <w:ind/>
              <w:jc w:val="left"/>
              <w:rPr/>
            </w:pPr>
            <w:r>
              <w:rPr>
                <w:b/>
              </w:rPr>
            </w:r>
            <w:r>
              <w:rPr>
                <w:rFonts w:ascii="Calibri" w:hAnsi="Calibri"/>
                <w:b/>
                <w:color w:val="333333"/>
                <w:sz w:val="19"/>
              </w:rPr>
              <w:t xml:space="preserve">Change Management Scope</w:t>
            </w:r>
            <w:r/>
          </w:p>
        </w:tc>
        <w:tc>
          <w:tcPr>
            <w:tcBorders/>
            <w:tcW w:w="3402" w:type="dxa"/>
          </w:tcPr>
          <w:p>
            <w:pPr>
              <w:pBdr/>
              <w:spacing w:after="40" w:before="40"/>
              <w:ind/>
              <w:jc w:val="left"/>
              <w:rPr/>
            </w:pPr>
            <w:r>
              <w:rPr>
                <w:rFonts w:ascii="Calibri" w:hAnsi="Calibri"/>
                <w:b w:val="0"/>
                <w:color w:val="333333"/>
                <w:sz w:val="19"/>
              </w:rPr>
              <w:t xml:space="preserve">Non-code changes exceed ~20% of total change volume; regulatory requirements demand stricter segregation</w:t>
            </w:r>
            <w:r/>
          </w:p>
        </w:tc>
        <w:tc>
          <w:tcPr>
            <w:tcBorders/>
            <w:tcW w:w="4252" w:type="dxa"/>
          </w:tcPr>
          <w:p>
            <w:pPr>
              <w:pBdr/>
              <w:spacing w:after="40" w:before="40"/>
              <w:ind/>
              <w:jc w:val="left"/>
              <w:rPr/>
            </w:pPr>
            <w:r>
              <w:rPr>
                <w:rFonts w:ascii="Calibri" w:hAnsi="Calibri"/>
                <w:b w:val="0"/>
                <w:color w:val="333333"/>
                <w:sz w:val="19"/>
              </w:rPr>
              <w:t xml:space="preserve">Extend ERPNext Change Request with additional states/fields, or introduce a lightweight ITSM change module for infrastructure/business changes while retaining ERPNext as the audit ledger.</w:t>
            </w:r>
            <w:r/>
          </w:p>
        </w:tc>
      </w:tr>
      <w:tr>
        <w:trPr/>
        <w:tc>
          <w:tcPr>
            <w:tcBorders/>
            <w:tcW w:w="1984" w:type="dxa"/>
          </w:tcPr>
          <w:p>
            <w:pPr>
              <w:pBdr/>
              <w:spacing w:after="40" w:before="40"/>
              <w:ind/>
              <w:jc w:val="left"/>
              <w:rPr/>
            </w:pPr>
            <w:r>
              <w:rPr>
                <w:b/>
              </w:rPr>
            </w:r>
            <w:r>
              <w:rPr>
                <w:rFonts w:ascii="Calibri" w:hAnsi="Calibri"/>
                <w:b/>
                <w:color w:val="333333"/>
                <w:sz w:val="19"/>
              </w:rPr>
              <w:t xml:space="preserve">Middleware / Alert Volume</w:t>
            </w:r>
            <w:r/>
          </w:p>
        </w:tc>
        <w:tc>
          <w:tcPr>
            <w:tcBorders/>
            <w:tcW w:w="3402" w:type="dxa"/>
          </w:tcPr>
          <w:p>
            <w:pPr>
              <w:pBdr/>
              <w:spacing w:after="40" w:before="40"/>
              <w:ind/>
              <w:jc w:val="left"/>
              <w:rPr/>
            </w:pPr>
            <w:r>
              <w:rPr>
                <w:rFonts w:ascii="Calibri" w:hAnsi="Calibri"/>
                <w:b w:val="0"/>
                <w:color w:val="333333"/>
                <w:sz w:val="19"/>
              </w:rPr>
              <w:t xml:space="preserve">Sustained throughput exceeds comfortable processing capacity; suppression logic becomes complex</w:t>
            </w:r>
            <w:r/>
          </w:p>
        </w:tc>
        <w:tc>
          <w:tcPr>
            <w:tcBorders/>
            <w:tcW w:w="4252" w:type="dxa"/>
          </w:tcPr>
          <w:p>
            <w:pPr>
              <w:pBdr/>
              <w:spacing w:after="40" w:before="40"/>
              <w:ind/>
              <w:jc w:val="left"/>
              <w:rPr/>
            </w:pPr>
            <w:r>
              <w:rPr>
                <w:rFonts w:ascii="Calibri" w:hAnsi="Calibri"/>
                <w:b w:val="0"/>
                <w:color w:val="333333"/>
                <w:sz w:val="19"/>
              </w:rPr>
              <w:t xml:space="preserve">Migrate to managed integration platform (e.g., n8n Cloud, Temporal, or enterprise alert correlation) with guaranteed delivery and advanced routing.</w:t>
            </w:r>
            <w:r/>
          </w:p>
        </w:tc>
      </w:tr>
      <w:tr>
        <w:trPr/>
        <w:tc>
          <w:tcPr>
            <w:tcBorders/>
            <w:tcW w:w="1984" w:type="dxa"/>
          </w:tcPr>
          <w:p>
            <w:pPr>
              <w:pBdr/>
              <w:spacing w:after="40" w:before="40"/>
              <w:ind/>
              <w:jc w:val="left"/>
              <w:rPr/>
            </w:pPr>
            <w:r>
              <w:rPr>
                <w:b/>
              </w:rPr>
            </w:r>
            <w:r>
              <w:rPr>
                <w:rFonts w:ascii="Calibri" w:hAnsi="Calibri"/>
                <w:b/>
                <w:color w:val="333333"/>
                <w:sz w:val="19"/>
              </w:rPr>
              <w:t xml:space="preserve">Asset Visibility / CMDB</w:t>
            </w:r>
            <w:r/>
          </w:p>
        </w:tc>
        <w:tc>
          <w:tcPr>
            <w:tcBorders/>
            <w:tcW w:w="3402" w:type="dxa"/>
          </w:tcPr>
          <w:p>
            <w:pPr>
              <w:pBdr/>
              <w:spacing w:after="40" w:before="40"/>
              <w:ind/>
              <w:jc w:val="left"/>
              <w:rPr/>
            </w:pPr>
            <w:r>
              <w:rPr>
                <w:rFonts w:ascii="Calibri" w:hAnsi="Calibri"/>
                <w:b w:val="0"/>
                <w:color w:val="333333"/>
                <w:sz w:val="19"/>
              </w:rPr>
              <w:t xml:space="preserve">Team grows beyond institutional knowledge of dependencies; new engineers cannot identify affected services from memory</w:t>
            </w:r>
            <w:r/>
          </w:p>
        </w:tc>
        <w:tc>
          <w:tcPr>
            <w:tcBorders/>
            <w:tcW w:w="4252" w:type="dxa"/>
          </w:tcPr>
          <w:p>
            <w:pPr>
              <w:pBdr/>
              <w:spacing w:after="40" w:before="40"/>
              <w:ind/>
              <w:jc w:val="left"/>
              <w:rPr/>
            </w:pPr>
            <w:r>
              <w:rPr>
                <w:rFonts w:ascii="Calibri" w:hAnsi="Calibri"/>
                <w:b w:val="0"/>
                <w:color w:val="333333"/>
                <w:sz w:val="19"/>
              </w:rPr>
              <w:t xml:space="preserve">Introduce lightweight CMDB/asset inventory (NetBox, Snipe-IT) linked to ERPNext tickets via configuration item fields. Service Graphs remain the live dependency source.</w:t>
            </w:r>
            <w:r/>
          </w:p>
        </w:tc>
      </w:tr>
      <w:tr>
        <w:trPr/>
        <w:tc>
          <w:tcPr>
            <w:tcBorders/>
            <w:tcW w:w="1984" w:type="dxa"/>
          </w:tcPr>
          <w:p>
            <w:pPr>
              <w:pBdr/>
              <w:spacing w:after="40" w:before="40"/>
              <w:ind/>
              <w:jc w:val="left"/>
              <w:rPr/>
            </w:pPr>
            <w:r>
              <w:rPr>
                <w:b/>
              </w:rPr>
            </w:r>
            <w:r>
              <w:rPr>
                <w:rFonts w:ascii="Calibri" w:hAnsi="Calibri"/>
                <w:b/>
                <w:color w:val="333333"/>
                <w:sz w:val="19"/>
              </w:rPr>
              <w:t xml:space="preserve">ITSM Platform Migration</w:t>
            </w:r>
            <w:r/>
          </w:p>
        </w:tc>
        <w:tc>
          <w:tcPr>
            <w:tcBorders/>
            <w:tcW w:w="3402" w:type="dxa"/>
          </w:tcPr>
          <w:p>
            <w:pPr>
              <w:pBdr/>
              <w:spacing w:after="40" w:before="40"/>
              <w:ind/>
              <w:jc w:val="left"/>
              <w:rPr/>
            </w:pPr>
            <w:r>
              <w:rPr>
                <w:rFonts w:ascii="Calibri" w:hAnsi="Calibri"/>
                <w:b w:val="0"/>
                <w:color w:val="333333"/>
                <w:sz w:val="19"/>
              </w:rPr>
              <w:t xml:space="preserve">Regulatory scope, team size, or compliance requirements expand significantly</w:t>
            </w:r>
            <w:r/>
          </w:p>
        </w:tc>
        <w:tc>
          <w:tcPr>
            <w:tcBorders/>
            <w:tcW w:w="4252" w:type="dxa"/>
          </w:tcPr>
          <w:p>
            <w:pPr>
              <w:pBdr/>
              <w:spacing w:after="40" w:before="40"/>
              <w:ind/>
              <w:jc w:val="left"/>
              <w:rPr/>
            </w:pPr>
            <w:r>
              <w:rPr>
                <w:rFonts w:ascii="Calibri" w:hAnsi="Calibri"/>
                <w:b w:val="0"/>
                <w:color w:val="333333"/>
                <w:sz w:val="19"/>
              </w:rPr>
              <w:t xml:space="preserve">Evaluate migrating ticketing, change, and CMDB to a dedicated platform (Jira Service Management, Freshservice). ERPNext remains the core business system for Accounting, HR, and Procurement. Middleware re-targets API calls.</w:t>
            </w:r>
            <w:r/>
          </w:p>
        </w:tc>
      </w:tr>
    </w:tbl>
    <w:p>
      <w:pPr>
        <w:pBdr/>
        <w:spacing/>
        <w:ind/>
        <w:rPr/>
      </w:pPr>
      <w:r>
        <w:rPr>
          <w:rFonts w:ascii="Calibri" w:hAnsi="Calibri"/>
          <w:b/>
          <w:color w:val="333333"/>
          <w:sz w:val="22"/>
        </w:rPr>
        <w:t xml:space="preserve">Investment Preservation: </w:t>
      </w:r>
      <w:r>
        <w:rPr>
          <w:rFonts w:ascii="Calibri" w:hAnsi="Calibri"/>
          <w:b w:val="0"/>
          <w:color w:val="333333"/>
          <w:sz w:val="22"/>
        </w:rPr>
        <w:t xml:space="preserve">At every stage, ERPNext and Grafana remain in the stack. The middleware layer is the only component designed for replacement. Data models (ticket schema, change request fields, service labels) are portable by design.</w:t>
      </w:r>
      <w:r/>
    </w:p>
    <w:p>
      <w:pPr>
        <w:pBdr>
          <w:bottom w:val="single" w:color="1a3c6e" w:sz="6" w:space="1"/>
        </w:pBdr>
        <w:spacing w:after="40" w:before="40"/>
        <w:ind/>
        <w:rPr/>
      </w:pPr>
      <w:r/>
      <w:r/>
    </w:p>
    <w:p>
      <w:pPr>
        <w:pStyle w:val="693"/>
        <w:pBdr/>
        <w:spacing/>
        <w:ind/>
        <w:rPr/>
      </w:pPr>
      <w:r>
        <w:t xml:space="preserve">8. Governance &amp; Ownership</w:t>
      </w:r>
      <w:r/>
    </w:p>
    <w:tbl>
      <w:tblPr>
        <w:tblStyle w:val="753"/>
        <w:jc w:val="center"/>
        <w:tblW w:w="0" w:type="auto"/>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3120"/>
        <w:gridCol w:w="3120"/>
        <w:gridCol w:w="3120"/>
      </w:tblGrid>
      <w:tr>
        <w:trPr/>
        <w:tc>
          <w:tcPr>
            <w:shd w:val="clear" w:color="auto" w:fill="2e75b6"/>
            <w:tcBorders/>
            <w:tcW w:w="2268" w:type="dxa"/>
          </w:tcPr>
          <w:p>
            <w:pPr>
              <w:pBdr/>
              <w:spacing w:after="40" w:before="40"/>
              <w:ind/>
              <w:jc w:val="left"/>
              <w:rPr/>
            </w:pPr>
            <w:r>
              <w:rPr>
                <w:rFonts w:ascii="Calibri" w:hAnsi="Calibri"/>
                <w:b/>
                <w:color w:val="ffffff"/>
                <w:sz w:val="20"/>
              </w:rPr>
              <w:t xml:space="preserve">Domain</w:t>
            </w:r>
            <w:r/>
          </w:p>
        </w:tc>
        <w:tc>
          <w:tcPr>
            <w:shd w:val="clear" w:color="auto" w:fill="2e75b6"/>
            <w:tcBorders/>
            <w:tcW w:w="1701" w:type="dxa"/>
          </w:tcPr>
          <w:p>
            <w:pPr>
              <w:pBdr/>
              <w:spacing w:after="40" w:before="40"/>
              <w:ind/>
              <w:jc w:val="left"/>
              <w:rPr/>
            </w:pPr>
            <w:r>
              <w:rPr>
                <w:rFonts w:ascii="Calibri" w:hAnsi="Calibri"/>
                <w:b/>
                <w:color w:val="ffffff"/>
                <w:sz w:val="20"/>
              </w:rPr>
              <w:t xml:space="preserve">Owner</w:t>
            </w:r>
            <w:r/>
          </w:p>
        </w:tc>
        <w:tc>
          <w:tcPr>
            <w:shd w:val="clear" w:color="auto" w:fill="2e75b6"/>
            <w:tcBorders/>
            <w:tcW w:w="5669" w:type="dxa"/>
          </w:tcPr>
          <w:p>
            <w:pPr>
              <w:pBdr/>
              <w:spacing w:after="40" w:before="40"/>
              <w:ind/>
              <w:jc w:val="left"/>
              <w:rPr/>
            </w:pPr>
            <w:r>
              <w:rPr>
                <w:rFonts w:ascii="Calibri" w:hAnsi="Calibri"/>
                <w:b/>
                <w:color w:val="ffffff"/>
                <w:sz w:val="20"/>
              </w:rPr>
              <w:t xml:space="preserve">Accountability</w:t>
            </w:r>
            <w:r/>
          </w:p>
        </w:tc>
      </w:tr>
      <w:tr>
        <w:trPr/>
        <w:tc>
          <w:tcPr>
            <w:tcBorders/>
            <w:tcW w:w="2268" w:type="dxa"/>
          </w:tcPr>
          <w:p>
            <w:pPr>
              <w:pBdr/>
              <w:spacing w:after="40" w:before="40"/>
              <w:ind/>
              <w:jc w:val="left"/>
              <w:rPr/>
            </w:pPr>
            <w:r>
              <w:rPr>
                <w:b/>
              </w:rPr>
            </w:r>
            <w:r>
              <w:rPr>
                <w:rFonts w:ascii="Calibri" w:hAnsi="Calibri"/>
                <w:b/>
                <w:color w:val="333333"/>
                <w:sz w:val="19"/>
              </w:rPr>
              <w:t xml:space="preserve">ERPNext Platform</w:t>
            </w:r>
            <w:r/>
          </w:p>
        </w:tc>
        <w:tc>
          <w:tcPr>
            <w:tcBorders/>
            <w:tcW w:w="1701" w:type="dxa"/>
          </w:tcPr>
          <w:p>
            <w:pPr>
              <w:pBdr/>
              <w:spacing w:after="40" w:before="40"/>
              <w:ind/>
              <w:jc w:val="left"/>
              <w:rPr/>
            </w:pPr>
            <w:r>
              <w:rPr>
                <w:rFonts w:ascii="Calibri" w:hAnsi="Calibri"/>
                <w:b w:val="0"/>
                <w:color w:val="333333"/>
                <w:sz w:val="19"/>
              </w:rPr>
              <w:t xml:space="preserve">Platform Team</w:t>
            </w:r>
            <w:r/>
          </w:p>
        </w:tc>
        <w:tc>
          <w:tcPr>
            <w:tcBorders/>
            <w:tcW w:w="5669" w:type="dxa"/>
          </w:tcPr>
          <w:p>
            <w:pPr>
              <w:pBdr/>
              <w:spacing w:after="40" w:before="40"/>
              <w:ind/>
              <w:jc w:val="left"/>
              <w:rPr/>
            </w:pPr>
            <w:r>
              <w:rPr>
                <w:rFonts w:ascii="Calibri" w:hAnsi="Calibri"/>
                <w:b w:val="0"/>
                <w:color w:val="333333"/>
                <w:sz w:val="19"/>
              </w:rPr>
              <w:t xml:space="preserve">Availability, upgrades, custom DocType maintenance, workflow changes</w:t>
            </w:r>
            <w:r/>
          </w:p>
        </w:tc>
      </w:tr>
      <w:tr>
        <w:trPr/>
        <w:tc>
          <w:tcPr>
            <w:tcBorders/>
            <w:tcW w:w="2268" w:type="dxa"/>
          </w:tcPr>
          <w:p>
            <w:pPr>
              <w:pBdr/>
              <w:spacing w:after="40" w:before="40"/>
              <w:ind/>
              <w:jc w:val="left"/>
              <w:rPr/>
            </w:pPr>
            <w:r>
              <w:rPr>
                <w:b/>
              </w:rPr>
            </w:r>
            <w:r>
              <w:rPr>
                <w:rFonts w:ascii="Calibri" w:hAnsi="Calibri"/>
                <w:b/>
                <w:color w:val="333333"/>
                <w:sz w:val="19"/>
              </w:rPr>
              <w:t xml:space="preserve">Grafana Stack</w:t>
            </w:r>
            <w:r/>
          </w:p>
        </w:tc>
        <w:tc>
          <w:tcPr>
            <w:tcBorders/>
            <w:tcW w:w="1701" w:type="dxa"/>
          </w:tcPr>
          <w:p>
            <w:pPr>
              <w:pBdr/>
              <w:spacing w:after="40" w:before="40"/>
              <w:ind/>
              <w:jc w:val="left"/>
              <w:rPr/>
            </w:pPr>
            <w:r>
              <w:rPr>
                <w:rFonts w:ascii="Calibri" w:hAnsi="Calibri"/>
                <w:b w:val="0"/>
                <w:color w:val="333333"/>
                <w:sz w:val="19"/>
              </w:rPr>
              <w:t xml:space="preserve">Observability Team</w:t>
            </w:r>
            <w:r/>
          </w:p>
        </w:tc>
        <w:tc>
          <w:tcPr>
            <w:tcBorders/>
            <w:tcW w:w="5669" w:type="dxa"/>
          </w:tcPr>
          <w:p>
            <w:pPr>
              <w:pBdr/>
              <w:spacing w:after="40" w:before="40"/>
              <w:ind/>
              <w:jc w:val="left"/>
              <w:rPr/>
            </w:pPr>
            <w:r>
              <w:rPr>
                <w:rFonts w:ascii="Calibri" w:hAnsi="Calibri"/>
                <w:b w:val="0"/>
                <w:color w:val="333333"/>
                <w:sz w:val="19"/>
              </w:rPr>
              <w:t xml:space="preserve">Data source health, alert rule quality, Service Graph accuracy, dashboard standards</w:t>
            </w:r>
            <w:r/>
          </w:p>
        </w:tc>
      </w:tr>
      <w:tr>
        <w:trPr/>
        <w:tc>
          <w:tcPr>
            <w:tcBorders/>
            <w:tcW w:w="2268" w:type="dxa"/>
          </w:tcPr>
          <w:p>
            <w:pPr>
              <w:pBdr/>
              <w:spacing w:after="40" w:before="40"/>
              <w:ind/>
              <w:jc w:val="left"/>
              <w:rPr/>
            </w:pPr>
            <w:r>
              <w:rPr>
                <w:b/>
              </w:rPr>
            </w:r>
            <w:r>
              <w:rPr>
                <w:rFonts w:ascii="Calibri" w:hAnsi="Calibri"/>
                <w:b/>
                <w:color w:val="333333"/>
                <w:sz w:val="19"/>
              </w:rPr>
              <w:t xml:space="preserve">Middleware</w:t>
            </w:r>
            <w:r/>
          </w:p>
        </w:tc>
        <w:tc>
          <w:tcPr>
            <w:tcBorders/>
            <w:tcW w:w="1701" w:type="dxa"/>
          </w:tcPr>
          <w:p>
            <w:pPr>
              <w:pBdr/>
              <w:spacing w:after="40" w:before="40"/>
              <w:ind/>
              <w:jc w:val="left"/>
              <w:rPr/>
            </w:pPr>
            <w:r>
              <w:rPr>
                <w:rFonts w:ascii="Calibri" w:hAnsi="Calibri"/>
                <w:b w:val="0"/>
                <w:color w:val="333333"/>
                <w:sz w:val="19"/>
              </w:rPr>
              <w:t xml:space="preserve">Infrastructure Team</w:t>
            </w:r>
            <w:r/>
          </w:p>
        </w:tc>
        <w:tc>
          <w:tcPr>
            <w:tcBorders/>
            <w:tcW w:w="5669" w:type="dxa"/>
          </w:tcPr>
          <w:p>
            <w:pPr>
              <w:pBdr/>
              <w:spacing w:after="40" w:before="40"/>
              <w:ind/>
              <w:jc w:val="left"/>
              <w:rPr/>
            </w:pPr>
            <w:r>
              <w:rPr>
                <w:rFonts w:ascii="Calibri" w:hAnsi="Calibri"/>
                <w:b w:val="0"/>
                <w:color w:val="333333"/>
                <w:sz w:val="19"/>
              </w:rPr>
              <w:t xml:space="preserve">Pipeline reliability, deduplication logic, API contract stability, deployment</w:t>
            </w:r>
            <w:r/>
          </w:p>
        </w:tc>
      </w:tr>
      <w:tr>
        <w:trPr/>
        <w:tc>
          <w:tcPr>
            <w:tcBorders/>
            <w:tcW w:w="2268" w:type="dxa"/>
          </w:tcPr>
          <w:p>
            <w:pPr>
              <w:pBdr/>
              <w:spacing w:after="40" w:before="40"/>
              <w:ind/>
              <w:jc w:val="left"/>
              <w:rPr/>
            </w:pPr>
            <w:r>
              <w:rPr>
                <w:b/>
              </w:rPr>
            </w:r>
            <w:r>
              <w:rPr>
                <w:rFonts w:ascii="Calibri" w:hAnsi="Calibri"/>
                <w:b/>
                <w:color w:val="333333"/>
                <w:sz w:val="19"/>
              </w:rPr>
              <w:t xml:space="preserve">Change Process</w:t>
            </w:r>
            <w:r/>
          </w:p>
        </w:tc>
        <w:tc>
          <w:tcPr>
            <w:tcBorders/>
            <w:tcW w:w="1701" w:type="dxa"/>
          </w:tcPr>
          <w:p>
            <w:pPr>
              <w:pBdr/>
              <w:spacing w:after="40" w:before="40"/>
              <w:ind/>
              <w:jc w:val="left"/>
              <w:rPr/>
            </w:pPr>
            <w:r>
              <w:rPr>
                <w:rFonts w:ascii="Calibri" w:hAnsi="Calibri"/>
                <w:b w:val="0"/>
                <w:color w:val="333333"/>
                <w:sz w:val="19"/>
              </w:rPr>
              <w:t xml:space="preserve">CTO / Change Manager</w:t>
            </w:r>
            <w:r/>
          </w:p>
        </w:tc>
        <w:tc>
          <w:tcPr>
            <w:tcBorders/>
            <w:tcW w:w="5669" w:type="dxa"/>
          </w:tcPr>
          <w:p>
            <w:pPr>
              <w:pBdr/>
              <w:spacing w:after="40" w:before="40"/>
              <w:ind/>
              <w:jc w:val="left"/>
              <w:rPr/>
            </w:pPr>
            <w:r>
              <w:rPr>
                <w:rFonts w:ascii="Calibri" w:hAnsi="Calibri"/>
                <w:b w:val="0"/>
                <w:color w:val="333333"/>
                <w:sz w:val="19"/>
              </w:rPr>
              <w:t xml:space="preserve">Approval policy, risk matrix calibration, retrospective cadence</w:t>
            </w:r>
            <w:r/>
          </w:p>
        </w:tc>
      </w:tr>
      <w:tr>
        <w:trPr/>
        <w:tc>
          <w:tcPr>
            <w:tcBorders/>
            <w:tcW w:w="2268" w:type="dxa"/>
          </w:tcPr>
          <w:p>
            <w:pPr>
              <w:pBdr/>
              <w:spacing w:after="40" w:before="40"/>
              <w:ind/>
              <w:jc w:val="left"/>
              <w:rPr/>
            </w:pPr>
            <w:r>
              <w:rPr>
                <w:b/>
              </w:rPr>
            </w:r>
            <w:r>
              <w:rPr>
                <w:rFonts w:ascii="Calibri" w:hAnsi="Calibri"/>
                <w:b/>
                <w:color w:val="333333"/>
                <w:sz w:val="19"/>
              </w:rPr>
              <w:t xml:space="preserve">Architecture Diagrams</w:t>
            </w:r>
            <w:r/>
          </w:p>
        </w:tc>
        <w:tc>
          <w:tcPr>
            <w:tcBorders/>
            <w:tcW w:w="1701" w:type="dxa"/>
          </w:tcPr>
          <w:p>
            <w:pPr>
              <w:pBdr/>
              <w:spacing w:after="40" w:before="40"/>
              <w:ind/>
              <w:jc w:val="left"/>
              <w:rPr/>
            </w:pPr>
            <w:r>
              <w:rPr>
                <w:rFonts w:ascii="Calibri" w:hAnsi="Calibri"/>
                <w:b w:val="0"/>
                <w:color w:val="333333"/>
                <w:sz w:val="19"/>
              </w:rPr>
              <w:t xml:space="preserve">Tech Leads</w:t>
            </w:r>
            <w:r/>
          </w:p>
        </w:tc>
        <w:tc>
          <w:tcPr>
            <w:tcBorders/>
            <w:tcW w:w="5669" w:type="dxa"/>
          </w:tcPr>
          <w:p>
            <w:pPr>
              <w:pBdr/>
              <w:spacing w:after="40" w:before="40"/>
              <w:ind/>
              <w:jc w:val="left"/>
              <w:rPr/>
            </w:pPr>
            <w:r>
              <w:rPr>
                <w:rFonts w:ascii="Calibri" w:hAnsi="Calibri"/>
                <w:b w:val="0"/>
                <w:color w:val="333333"/>
                <w:sz w:val="19"/>
              </w:rPr>
              <w:t xml:space="preserve">Mermaid diagram accuracy, review in architecture PRs</w:t>
            </w:r>
            <w:r/>
          </w:p>
        </w:tc>
      </w:tr>
    </w:tbl>
    <w:p>
      <w:pPr>
        <w:pBdr>
          <w:bottom w:val="single" w:color="1a3c6e" w:sz="6" w:space="1"/>
        </w:pBdr>
        <w:spacing w:after="40" w:before="40"/>
        <w:ind/>
        <w:rPr/>
      </w:pPr>
      <w:r/>
      <w:r/>
    </w:p>
    <w:p>
      <w:pPr>
        <w:pStyle w:val="693"/>
      </w:pPr>
      <w:r>
        <w:t>9. Changes from v1 and Open Decisions</w:t>
      </w:r>
    </w:p>
    <w:p>
      <w:pPr/>
      <w:r>
        <w:t>This appendix lists each change made from v1 to v2, grouped by section, and consolidates every DECISION NEEDED item into a single table.</w:t>
      </w:r>
    </w:p>
    <w:p>
      <w:pPr>
        <w:pStyle w:val="723"/>
      </w:pPr>
      <w:r>
        <w:t>§1 Executive Summary: left largely intact; architecture remains ERPNext + Grafana integration.</w:t>
      </w:r>
    </w:p>
    <w:p>
      <w:pPr>
        <w:pStyle w:val="723"/>
      </w:pPr>
      <w:r>
        <w:t>§2 Core Platform Components: Middleware row relabeled to "Frappe Custom App (itsm_integration) — webhook ingestion and enrichment, deployed as part of ERPNext". ERPNext audit trail wording corrected (Version/Activity Log editable by System Manager or DB access).</w:t>
      </w:r>
    </w:p>
    <w:p>
      <w:pPr>
        <w:pStyle w:val="723"/>
      </w:pPr>
      <w:r>
        <w:t>§3.1 End-to-End Flow: POST /api/resource/Issue replaced with Insert HD Ticket (ERPNext Helpdesk doctype). Middleware replaced by Frappe custom app endpoint at /api/method/itsm_integration.webhook.ingest. Fingerprint cache replaced by DB unique index. Auto-close changed to auto-resolve.</w:t>
      </w:r>
    </w:p>
    <w:p>
      <w:pPr>
        <w:pStyle w:val="723"/>
      </w:pPr>
      <w:r>
        <w:t>§3.2 Key Behaviours: deduplication via Grafana per-alert fingerprint (verify against our Grafana version's payload; do not hash our own), iterate alerts array, fingerprint as unique custom field source of truth, flapping policy (reopen within N hours, configurable per service), auto-resolve with P1/P2 human closure, "Resolved" pauses resolution SLA until human confirms closure. SLA described as per-priority first-response/resolution targets, holiday list, explicit statuses that pause/complete SLA.</w:t>
      </w:r>
    </w:p>
    <w:p>
      <w:pPr>
        <w:pStyle w:val="723"/>
      </w:pPr>
      <w:r>
        <w:t>§3.3 Reliability (new): ticket is a record not a pager; Grafana contact points notify humans directly in parallel (Slack/email/SMS); engineers paged even if ERPNext is down; heartbeat/dead-man's-switch alert for ingestion endpoint; hosting risk note if ERPNext runs on infrastructure it monitors.</w:t>
      </w:r>
    </w:p>
    <w:p>
      <w:pPr>
        <w:pStyle w:val="723"/>
      </w:pPr>
      <w:r>
        <w:t>§4 Change gate: gate production deploy job not PR merge; pipeline verifies Change Request linked service/repo matches PR; break-glass path for Emergency changes (named roles, auto-log timestamp/invoker/reason, 24h retrospective review); Standard pre-approved change class skips approval; author ≠ approver (no self-approval); identical workflow for code and non-code now (revisit if non-code &gt;20%).</w:t>
      </w:r>
    </w:p>
    <w:p>
      <w:pPr>
        <w:pStyle w:val="723"/>
      </w:pPr>
      <w:r>
        <w:t>§4.1 Audit: "immutable audit trail" replaced with accurate statement; stream audit events to append-only store; store marked DECISION NEEDED.</w:t>
      </w:r>
    </w:p>
    <w:p>
      <w:pPr>
        <w:pStyle w:val="723"/>
      </w:pPr>
      <w:r>
        <w:t>§5 Topology: Service Graphs cover only instrumented request paths (peer.service spans); do not cover hardware/vendors/network/databases/queues/uninstrumented; INT-004/INT-005 partially satisfied; Service registry covers the rest. OpenTelemetry rollout moved out of 2-week Phase 3 (scope to pilot services or extend Phase 3; broader rollout separate workstream).</w:t>
      </w:r>
    </w:p>
    <w:p>
      <w:pPr>
        <w:pStyle w:val="723"/>
      </w:pPr>
      <w:r>
        <w:t>§5.3 Service Registry (new): Service doctype (name, owning team, runbook URL, tier) from YAML in Git synced to ERPNext; structured link on Change Requests and tickets; Phase 1 deliverable.</w:t>
      </w:r>
    </w:p>
    <w:p>
      <w:pPr>
        <w:pStyle w:val="723"/>
      </w:pPr>
      <w:r>
        <w:t>§6 Phasing: backup/restore testing, access control hardening, least-privilege API user, webhook auth (HMAC/token), ERPNext/Helpdesk version pinning, integration-failure tests (AC-008–AC-012) moved from Phase 4 to Phase 1. Phase 1 re-estimated 3–4 weeks; Phase 3 re-estimated 4–6 weeks (estimates, to be confirmed by the team during planning). Lighter alternative note added (Frappe server script, harder to test/version-control).</w:t>
      </w:r>
    </w:p>
    <w:p>
      <w:pPr>
        <w:pStyle w:val="723"/>
      </w:pPr>
      <w:r>
        <w:t>§7 Future Scaling: Grafana Cloud On-Call removed; Grafana OnCall OSS archived 24 March 2026, Cloud Connection for SMS/phone/push ended same day, successor is Grafana Cloud IRM; on-call tool marked DECISION NEEDED (Grafana Cloud IRM / PagerDuty / other; Opsgenie winding down — verify); no rotation logic in Frappe endpoint/custom code.</w:t>
      </w:r>
    </w:p>
    <w:p>
      <w:pPr>
        <w:pStyle w:val="723"/>
      </w:pPr>
      <w:r>
        <w:t>§8 Governance: Middleware accountability updated to Frappe custom app (itsm_integration).</w:t>
      </w:r>
    </w:p>
    <w:tbl>
      <w:tblPr>
        <w:tblStyle w:val="753"/>
        <w:tblW w:type="auto" w:w="0"/>
        <w:tblLook w:firstColumn="1" w:firstRow="1" w:lastColumn="0" w:lastRow="0" w:noHBand="0" w:noVBand="1" w:val="04A0"/>
      </w:tblPr>
      <w:tblGrid>
        <w:gridCol w:w="3120"/>
        <w:gridCol w:w="3120"/>
        <w:gridCol w:w="3120"/>
      </w:tblGrid>
      <w:tr>
        <w:tc>
          <w:tcPr>
            <w:tcW w:type="dxa" w:w="3120"/>
          </w:tcPr>
          <w:p>
            <w:r>
              <w:t>#</w:t>
            </w:r>
          </w:p>
        </w:tc>
        <w:tc>
          <w:tcPr>
            <w:tcW w:type="dxa" w:w="3120"/>
          </w:tcPr>
          <w:p>
            <w:r>
              <w:t>Decision Needed</w:t>
            </w:r>
          </w:p>
        </w:tc>
        <w:tc>
          <w:tcPr>
            <w:tcW w:type="dxa" w:w="3120"/>
          </w:tcPr>
          <w:p>
            <w:r>
              <w:t>Options / Notes</w:t>
            </w:r>
          </w:p>
        </w:tc>
      </w:tr>
      <w:tr>
        <w:tc>
          <w:tcPr>
            <w:tcW w:type="dxa" w:w="3120"/>
          </w:tcPr>
          <w:p>
            <w:r>
              <w:t>D1</w:t>
            </w:r>
          </w:p>
        </w:tc>
        <w:tc>
          <w:tcPr>
            <w:tcW w:type="dxa" w:w="3120"/>
          </w:tcPr>
          <w:p>
            <w:r>
              <w:t>Append-only audit store (§4.1)</w:t>
            </w:r>
          </w:p>
        </w:tc>
        <w:tc>
          <w:tcPr>
            <w:tcW w:type="dxa" w:w="3120"/>
          </w:tcPr>
          <w:p>
            <w:r>
              <w:t>Loki with retention policy and no deletion / S3/GCS object-lock bucket / append-only database table with cryptographic hashing.</w:t>
            </w:r>
          </w:p>
        </w:tc>
      </w:tr>
      <w:tr>
        <w:tc>
          <w:tcPr>
            <w:tcW w:type="dxa" w:w="3120"/>
          </w:tcPr>
          <w:p>
            <w:r>
              <w:t>D2</w:t>
            </w:r>
          </w:p>
        </w:tc>
        <w:tc>
          <w:tcPr>
            <w:tcW w:type="dxa" w:w="3120"/>
          </w:tcPr>
          <w:p>
            <w:r>
              <w:t>On-call product (§7, §9)</w:t>
            </w:r>
          </w:p>
        </w:tc>
        <w:tc>
          <w:tcPr>
            <w:tcW w:type="dxa" w:w="3120"/>
          </w:tcPr>
          <w:p>
            <w:r>
              <w:t>Grafana Cloud IRM / PagerDuty / other. Opsgenie is being wound down — verify current status before selecting.</w:t>
            </w:r>
          </w:p>
        </w:tc>
      </w:tr>
      <w:tr>
        <w:tc>
          <w:tcPr>
            <w:tcW w:type="dxa" w:w="3120"/>
          </w:tcPr>
          <w:p>
            <w:r>
              <w:t>D3</w:t>
            </w:r>
          </w:p>
        </w:tc>
        <w:tc>
          <w:tcPr>
            <w:tcW w:type="dxa" w:w="3120"/>
          </w:tcPr>
          <w:p>
            <w:r>
              <w:t>Flapping re-fire window N hours (§3.2)</w:t>
            </w:r>
          </w:p>
        </w:tc>
        <w:tc>
          <w:tcPr>
            <w:tcW w:type="dxa" w:w="3120"/>
          </w:tcPr>
          <w:p>
            <w:r>
              <w:t>Configurable per service; exact N to be set by the team.</w:t>
            </w:r>
          </w:p>
        </w:tc>
      </w:tr>
      <w:tr>
        <w:tc>
          <w:tcPr>
            <w:tcW w:type="dxa" w:w="3120"/>
          </w:tcPr>
          <w:p>
            <w:r>
              <w:t>D4</w:t>
            </w:r>
          </w:p>
        </w:tc>
        <w:tc>
          <w:tcPr>
            <w:tcW w:type="dxa" w:w="3120"/>
          </w:tcPr>
          <w:p>
            <w:r>
              <w:t>OpenTelemetry rollout scope (§5, §6)</w:t>
            </w:r>
          </w:p>
        </w:tc>
        <w:tc>
          <w:tcPr>
            <w:tcW w:type="dxa" w:w="3120"/>
          </w:tcPr>
          <w:p>
            <w:r>
              <w:t>Extend Phase 3 OR scope OTel instrumentation to named pilot services only; broader rollout as separate workstream.</w:t>
            </w:r>
          </w:p>
        </w:tc>
      </w:tr>
      <w:tr>
        <w:tc>
          <w:tcPr>
            <w:tcW w:type="dxa" w:w="3120"/>
          </w:tcPr>
          <w:p>
            <w:r>
              <w:t>D5</w:t>
            </w:r>
          </w:p>
        </w:tc>
        <w:tc>
          <w:tcPr>
            <w:tcW w:type="dxa" w:w="3120"/>
          </w:tcPr>
          <w:p>
            <w:r>
              <w:t>Break-glass named roles (§4)</w:t>
            </w:r>
          </w:p>
        </w:tc>
        <w:tc>
          <w:tcPr>
            <w:tcW w:type="dxa" w:w="3120"/>
          </w:tcPr>
          <w:p>
            <w:r>
              <w:t>Which roles may invoke break-glass (e.g., Change Manager, CTO, Incident Commander) to be named.</w:t>
            </w:r>
          </w:p>
        </w:tc>
      </w:tr>
      <w:tr>
        <w:tc>
          <w:tcPr>
            <w:tcW w:type="dxa" w:w="3120"/>
          </w:tcPr>
          <w:p>
            <w:r>
              <w:t>D6</w:t>
            </w:r>
          </w:p>
        </w:tc>
        <w:tc>
          <w:tcPr>
            <w:tcW w:type="dxa" w:w="3120"/>
          </w:tcPr>
          <w:p>
            <w:r>
              <w:t>Retrospective review deadline (§4)</w:t>
            </w:r>
          </w:p>
        </w:tc>
        <w:tc>
          <w:tcPr>
            <w:tcW w:type="dxa" w:w="3120"/>
          </w:tcPr>
          <w:p>
            <w:r>
              <w:t>Suggested 24 hours for Emergency changes; to be confirmed.</w:t>
            </w:r>
          </w:p>
        </w:tc>
      </w:tr>
      <w:tr>
        <w:tc>
          <w:tcPr>
            <w:tcW w:type="dxa" w:w="3120"/>
          </w:tcPr>
          <w:p>
            <w:r>
              <w:t>D7</w:t>
            </w:r>
          </w:p>
        </w:tc>
        <w:tc>
          <w:tcPr>
            <w:tcW w:type="dxa" w:w="3120"/>
          </w:tcPr>
          <w:p>
            <w:r>
              <w:t>Webhook authentication (§6)</w:t>
            </w:r>
          </w:p>
        </w:tc>
        <w:tc>
          <w:tcPr>
            <w:tcW w:type="dxa" w:w="3120"/>
          </w:tcPr>
          <w:p>
            <w:r>
              <w:t>HMAC or token validation — choose one.</w:t>
            </w:r>
          </w:p>
        </w:tc>
      </w:tr>
      <w:tr>
        <w:tc>
          <w:tcPr>
            <w:tcW w:type="dxa" w:w="3120"/>
          </w:tcPr>
          <w:p>
            <w:r>
              <w:t>D8</w:t>
            </w:r>
          </w:p>
        </w:tc>
        <w:tc>
          <w:tcPr>
            <w:tcW w:type="dxa" w:w="3120"/>
          </w:tcPr>
          <w:p>
            <w:r>
              <w:t>HD Ticket fingerprint custom field name (§3.2)</w:t>
            </w:r>
          </w:p>
        </w:tc>
        <w:tc>
          <w:tcPr>
            <w:tcW w:type="dxa" w:w="3120"/>
          </w:tcPr>
          <w:p>
            <w:r>
              <w:t>Field name for storing the Grafana fingerprint as a unique indexed custom field.</w:t>
            </w:r>
          </w:p>
        </w:tc>
      </w:tr>
      <w:tr>
        <w:tc>
          <w:tcPr>
            <w:tcW w:type="dxa" w:w="3120"/>
          </w:tcPr>
          <w:p>
            <w:r>
              <w:t>D9</w:t>
            </w:r>
          </w:p>
        </w:tc>
        <w:tc>
          <w:tcPr>
            <w:tcW w:type="dxa" w:w="3120"/>
          </w:tcPr>
          <w:p>
            <w:r>
              <w:t>ERPNext hosting vs monitored infra (§3.3)</w:t>
            </w:r>
          </w:p>
        </w:tc>
        <w:tc>
          <w:tcPr>
            <w:tcW w:type="dxa" w:w="3120"/>
          </w:tcPr>
          <w:p>
            <w:r>
              <w:t>Document whether ERPNext runs on the infrastructure it tracks; accept or mitigate single-point-of-failure risk.</w:t>
            </w:r>
          </w:p>
        </w:tc>
      </w:tr>
    </w:tbl>
    <w:p>
      <w:pPr>
        <w:pBdr/>
        <w:spacing/>
        <w:ind/>
        <w:jc w:val="center"/>
        <w:rPr/>
      </w:pPr>
      <w:r>
        <w:rPr>
          <w:rFonts w:ascii="Calibri" w:hAnsi="Calibri"/>
          <w:b w:val="0"/>
          <w:color w:val="999999"/>
          <w:sz w:val="20"/>
        </w:rPr>
        <w:t xml:space="preserve">*End of Document*</w:t>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2070309020205020404"/>
  </w:font>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after="120" w:line="276" w:lineRule="auto"/>
      <w:ind/>
    </w:pPr>
    <w:rPr>
      <w:rFonts w:ascii="Calibri" w:hAnsi="Calibri"/>
      <w:color w:val="333333"/>
      <w:sz w:val="22"/>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200" w:before="360"/>
      <w:ind/>
      <w:outlineLvl w:val="0"/>
    </w:pPr>
    <w:rPr>
      <w:rFonts w:ascii="Calibri" w:hAnsi="Calibri" w:asciiTheme="majorHAnsi" w:hAnsiTheme="majorHAnsi" w:eastAsiaTheme="majorEastAsia" w:cstheme="majorBidi"/>
      <w:b/>
      <w:bCs/>
      <w:color w:val="1a3c6e"/>
      <w:sz w:val="36"/>
      <w:szCs w:val="28"/>
    </w:rPr>
  </w:style>
  <w:style w:type="paragraph" w:styleId="694">
    <w:name w:val="Heading 2"/>
    <w:basedOn w:val="688"/>
    <w:next w:val="688"/>
    <w:link w:val="707"/>
    <w:uiPriority w:val="9"/>
    <w:unhideWhenUsed/>
    <w:qFormat/>
    <w:pPr>
      <w:keepNext w:val="true"/>
      <w:keepLines w:val="true"/>
      <w:pBdr/>
      <w:spacing w:after="160" w:before="280"/>
      <w:ind/>
      <w:outlineLvl w:val="1"/>
    </w:pPr>
    <w:rPr>
      <w:rFonts w:ascii="Calibri" w:hAnsi="Calibri" w:asciiTheme="majorHAnsi" w:hAnsiTheme="majorHAnsi" w:eastAsiaTheme="majorEastAsia" w:cstheme="majorBidi"/>
      <w:b/>
      <w:bCs/>
      <w:color w:val="1a3c6e"/>
      <w:sz w:val="28"/>
      <w:szCs w:val="26"/>
    </w:rPr>
  </w:style>
  <w:style w:type="paragraph" w:styleId="695">
    <w:name w:val="Heading 3"/>
    <w:basedOn w:val="688"/>
    <w:next w:val="688"/>
    <w:link w:val="708"/>
    <w:uiPriority w:val="9"/>
    <w:unhideWhenUsed/>
    <w:qFormat/>
    <w:pPr>
      <w:keepNext w:val="true"/>
      <w:keepLines w:val="true"/>
      <w:pBdr/>
      <w:spacing w:after="120" w:before="200"/>
      <w:ind/>
      <w:outlineLvl w:val="2"/>
    </w:pPr>
    <w:rPr>
      <w:rFonts w:ascii="Calibri" w:hAnsi="Calibri" w:asciiTheme="majorHAnsi" w:hAnsiTheme="majorHAnsi" w:eastAsiaTheme="majorEastAsia" w:cstheme="majorBidi"/>
      <w:b/>
      <w:bCs/>
      <w:color w:val="1a3c6e"/>
      <w:sz w:val="24"/>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2026-10-15T07:39:55Z</dcterms:modified>
  <cp:category/>
</cp:coreProperties>
</file>