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pPr>
      <w:r>
        <w:rPr>
          <w:rFonts w:ascii="Calibri" w:hAnsi="Calibri"/>
          <w:b/>
          <w:color w:val="1a3c6e"/>
          <w:sz w:val="44"/>
        </w:rPr>
        <w:t xml:space="preserve">Proposed ITSM &amp; Operations Architecture</w:t>
      </w:r>
      <w:r/>
    </w:p>
    <w:p>
      <w:pPr>
        <w:pBdr/>
        <w:spacing/>
        <w:ind/>
        <w:jc w:val="center"/>
        <w:rPr/>
      </w:pPr>
      <w:r>
        <w:rPr>
          <w:rFonts w:ascii="Calibri" w:hAnsi="Calibri"/>
          <w:b w:val="0"/>
          <w:color w:val="999999"/>
          <w:sz w:val="20"/>
        </w:rPr>
        <w:t xml:space="preserve">Date: 2026</w:t>
        <w:br/>
        <w:t xml:space="preserve">Classification: Internal — Architecture Decision Record</w:t>
      </w:r>
      <w:r/>
    </w:p>
    <w:p>
      <w:pPr>
        <w:pBdr>
          <w:bottom w:val="single" w:color="1a3c6e" w:sz="6" w:space="1"/>
        </w:pBdr>
        <w:spacing w:after="40" w:before="40"/>
        <w:ind/>
        <w:rPr/>
      </w:pPr>
      <w:r/>
      <w:r/>
    </w:p>
    <w:p>
      <w:pPr>
        <w:pStyle w:val="693"/>
        <w:pBdr/>
        <w:spacing/>
        <w:ind/>
        <w:rPr/>
      </w:pPr>
      <w:r>
        <w:t xml:space="preserve">1. Executive Summary</w:t>
      </w:r>
      <w:r/>
    </w:p>
    <w:p>
      <w:pPr>
        <w:pBdr/>
        <w:spacing/>
        <w:ind/>
        <w:rPr/>
      </w:pPr>
      <w:r>
        <w:rPr>
          <w:rFonts w:ascii="Calibri" w:hAnsi="Calibri"/>
          <w:b w:val="0"/>
          <w:color w:val="333333"/>
          <w:sz w:val="22"/>
        </w:rPr>
        <w:t xml:space="preserve">This document defines the proposed ITSM and Operations Architecture for the infrastructure team. The architecture delivers a </w:t>
      </w:r>
      <w:r>
        <w:rPr>
          <w:rFonts w:ascii="Calibri" w:hAnsi="Calibri"/>
          <w:b/>
          <w:color w:val="333333"/>
          <w:sz w:val="22"/>
        </w:rPr>
        <w:t xml:space="preserve">modern, automated, and integrated platform</w:t>
      </w:r>
      <w:r>
        <w:rPr>
          <w:rFonts w:ascii="Calibri" w:hAnsi="Calibri"/>
          <w:b w:val="0"/>
          <w:color w:val="333333"/>
          <w:sz w:val="22"/>
        </w:rPr>
        <w:t xml:space="preserve"> that achieves full </w:t>
      </w:r>
      <w:r>
        <w:rPr>
          <w:rFonts w:ascii="Calibri" w:hAnsi="Calibri"/>
          <w:b w:val="0"/>
          <w:color w:val="333333"/>
          <w:sz w:val="22"/>
        </w:rPr>
        <w:t xml:space="preserve">operational maturity — complete auditability, automated incident response, controlled change management, and a live service topology view — by orchestrating our existing investments in ERPNext and Grafana through a lightweight, team-owned middleware layer.</w:t>
      </w:r>
      <w:r/>
    </w:p>
    <w:p>
      <w:pPr>
        <w:pBdr/>
        <w:spacing/>
        <w:ind/>
        <w:rPr/>
      </w:pPr>
      <w:r>
        <w:rPr>
          <w:rFonts w:ascii="Calibri" w:hAnsi="Calibri"/>
          <w:b w:val="0"/>
          <w:color w:val="333333"/>
          <w:sz w:val="22"/>
        </w:rPr>
        <w:t xml:space="preserve">The architecture establishes a </w:t>
      </w:r>
      <w:r>
        <w:rPr>
          <w:rFonts w:ascii="Calibri" w:hAnsi="Calibri"/>
          <w:b/>
          <w:color w:val="333333"/>
          <w:sz w:val="22"/>
        </w:rPr>
        <w:t xml:space="preserve">single source of truth</w:t>
      </w:r>
      <w:r>
        <w:rPr>
          <w:rFonts w:ascii="Calibri" w:hAnsi="Calibri"/>
          <w:b w:val="0"/>
          <w:color w:val="333333"/>
          <w:sz w:val="22"/>
        </w:rPr>
        <w:t xml:space="preserve"> for all operational records: ERPNext serves as the authoritative ledger for incidents, changes, SLAs, and approvals; Grafana provides real-time observability and live depende</w:t>
      </w:r>
      <w:r>
        <w:rPr>
          <w:rFonts w:ascii="Calibri" w:hAnsi="Calibri"/>
          <w:b w:val="0"/>
          <w:color w:val="333333"/>
          <w:sz w:val="22"/>
        </w:rPr>
        <w:t xml:space="preserve">ncy mapping; and the middleware layer handles event processing, deduplication, and bi-directional integration. This approach eliminates tool fragmentation, reduces manual handoffs, and ensures every operational action is traceable from alert to resolution.</w:t>
      </w:r>
      <w:r/>
    </w:p>
    <w:p>
      <w:pPr>
        <w:pBdr>
          <w:bottom w:val="single" w:color="1a3c6e" w:sz="6" w:space="1"/>
        </w:pBdr>
        <w:spacing w:after="40" w:before="40"/>
        <w:ind/>
        <w:rPr/>
      </w:pPr>
      <w:r/>
      <w:r/>
    </w:p>
    <w:p>
      <w:pPr>
        <w:pStyle w:val="693"/>
        <w:pBdr/>
        <w:spacing/>
        <w:ind/>
        <w:rPr/>
      </w:pPr>
      <w:r>
        <w:t xml:space="preserve">2. Core Platform Components</w:t>
      </w:r>
      <w:r/>
    </w:p>
    <w:p>
      <w:pPr>
        <w:pBdr/>
        <w:spacing/>
        <w:ind/>
        <w:rPr/>
      </w:pPr>
      <w:r>
        <w:rPr>
          <w:rFonts w:ascii="Calibri" w:hAnsi="Calibri"/>
          <w:b w:val="0"/>
          <w:color w:val="333333"/>
          <w:sz w:val="22"/>
        </w:rPr>
        <w:t xml:space="preserve">The following table defines the role and key capabilities of each platform component:</w:t>
      </w:r>
      <w:r/>
    </w:p>
    <w:tbl>
      <w:tblPr>
        <w:tblStyle w:val="753"/>
        <w:jc w:val="center"/>
        <w:tblW w:w="0" w:type="auto"/>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3120"/>
        <w:gridCol w:w="3120"/>
        <w:gridCol w:w="3120"/>
      </w:tblGrid>
      <w:tr>
        <w:trPr/>
        <w:tc>
          <w:tcPr>
            <w:shd w:val="clear" w:color="auto" w:fill="2e75b6"/>
            <w:tcBorders/>
            <w:tcW w:w="1984" w:type="dxa"/>
          </w:tcPr>
          <w:p>
            <w:pPr>
              <w:pBdr/>
              <w:spacing w:after="40" w:before="40"/>
              <w:ind/>
              <w:jc w:val="left"/>
              <w:rPr/>
            </w:pPr>
            <w:r>
              <w:rPr>
                <w:rFonts w:ascii="Calibri" w:hAnsi="Calibri"/>
                <w:b/>
                <w:color w:val="ffffff"/>
                <w:sz w:val="20"/>
              </w:rPr>
              <w:t xml:space="preserve">Component</w:t>
            </w:r>
            <w:r/>
          </w:p>
        </w:tc>
        <w:tc>
          <w:tcPr>
            <w:shd w:val="clear" w:color="auto" w:fill="2e75b6"/>
            <w:tcBorders/>
            <w:tcW w:w="2551" w:type="dxa"/>
          </w:tcPr>
          <w:p>
            <w:pPr>
              <w:pBdr/>
              <w:spacing w:after="40" w:before="40"/>
              <w:ind/>
              <w:jc w:val="left"/>
              <w:rPr/>
            </w:pPr>
            <w:r>
              <w:rPr>
                <w:rFonts w:ascii="Calibri" w:hAnsi="Calibri"/>
                <w:b/>
                <w:color w:val="ffffff"/>
                <w:sz w:val="20"/>
              </w:rPr>
              <w:t xml:space="preserve">Role in Architecture</w:t>
            </w:r>
            <w:r/>
          </w:p>
        </w:tc>
        <w:tc>
          <w:tcPr>
            <w:shd w:val="clear" w:color="auto" w:fill="2e75b6"/>
            <w:tcBorders/>
            <w:tcW w:w="5102" w:type="dxa"/>
          </w:tcPr>
          <w:p>
            <w:pPr>
              <w:pBdr/>
              <w:spacing w:after="40" w:before="40"/>
              <w:ind/>
              <w:jc w:val="left"/>
              <w:rPr/>
            </w:pPr>
            <w:r>
              <w:rPr>
                <w:rFonts w:ascii="Calibri" w:hAnsi="Calibri"/>
                <w:b/>
                <w:color w:val="ffffff"/>
                <w:sz w:val="20"/>
              </w:rPr>
              <w:t xml:space="preserve">Key Capabilities Utilised</w:t>
            </w:r>
            <w:r/>
          </w:p>
        </w:tc>
      </w:tr>
      <w:tr>
        <w:trPr/>
        <w:tc>
          <w:tcPr>
            <w:tcBorders/>
            <w:tcW w:w="1984" w:type="dxa"/>
          </w:tcPr>
          <w:p>
            <w:pPr>
              <w:pBdr/>
              <w:spacing w:after="40" w:before="40"/>
              <w:ind/>
              <w:jc w:val="left"/>
              <w:rPr/>
            </w:pPr>
            <w:r>
              <w:rPr>
                <w:b/>
              </w:rPr>
            </w:r>
            <w:r>
              <w:rPr>
                <w:rFonts w:ascii="Calibri" w:hAnsi="Calibri"/>
                <w:b/>
                <w:color w:val="333333"/>
                <w:sz w:val="19"/>
              </w:rPr>
              <w:t xml:space="preserve">ERPNext</w:t>
            </w:r>
            <w:r/>
          </w:p>
        </w:tc>
        <w:tc>
          <w:tcPr>
            <w:tcBorders/>
            <w:tcW w:w="2551" w:type="dxa"/>
          </w:tcPr>
          <w:p>
            <w:pPr>
              <w:pBdr/>
              <w:spacing w:after="40" w:before="40"/>
              <w:ind/>
              <w:jc w:val="left"/>
              <w:rPr/>
            </w:pPr>
            <w:r>
              <w:rPr>
                <w:rFonts w:ascii="Calibri" w:hAnsi="Calibri"/>
                <w:b w:val="0"/>
                <w:color w:val="333333"/>
                <w:sz w:val="19"/>
              </w:rPr>
              <w:t xml:space="preserve">Operational System of Record</w:t>
            </w:r>
            <w:r/>
          </w:p>
        </w:tc>
        <w:tc>
          <w:tcPr>
            <w:tcBorders/>
            <w:tcW w:w="5102" w:type="dxa"/>
          </w:tcPr>
          <w:p>
            <w:pPr>
              <w:pBdr/>
              <w:spacing w:after="40" w:before="40"/>
              <w:ind/>
              <w:jc w:val="left"/>
              <w:rPr/>
            </w:pPr>
            <w:r>
              <w:rPr>
                <w:rFonts w:ascii="Calibri" w:hAnsi="Calibri"/>
                <w:b w:val="0"/>
                <w:color w:val="333333"/>
                <w:sz w:val="19"/>
              </w:rPr>
              <w:t xml:space="preserve">Helpdesk (incident &amp; ticket lifecycle), native SLA engine, Workflow Builder (approval chains), Custom DocTypes (Unified Change Request), Activity Log (immutable audit trail), REST API (integration surface), Accounting/HR/Procurement (business context)</w:t>
            </w:r>
            <w:r/>
          </w:p>
        </w:tc>
      </w:tr>
      <w:tr>
        <w:trPr/>
        <w:tc>
          <w:tcPr>
            <w:tcBorders/>
            <w:tcW w:w="1984" w:type="dxa"/>
          </w:tcPr>
          <w:p>
            <w:pPr>
              <w:pBdr/>
              <w:spacing w:after="40" w:before="40"/>
              <w:ind/>
              <w:jc w:val="left"/>
              <w:rPr/>
            </w:pPr>
            <w:r>
              <w:rPr>
                <w:b/>
              </w:rPr>
            </w:r>
            <w:r>
              <w:rPr>
                <w:rFonts w:ascii="Calibri" w:hAnsi="Calibri"/>
                <w:b/>
                <w:color w:val="333333"/>
                <w:sz w:val="19"/>
              </w:rPr>
              <w:t xml:space="preserve">Grafana</w:t>
            </w:r>
            <w:r/>
          </w:p>
        </w:tc>
        <w:tc>
          <w:tcPr>
            <w:tcBorders/>
            <w:tcW w:w="2551" w:type="dxa"/>
          </w:tcPr>
          <w:p>
            <w:pPr>
              <w:pBdr/>
              <w:spacing w:after="40" w:before="40"/>
              <w:ind/>
              <w:jc w:val="left"/>
              <w:rPr/>
            </w:pPr>
            <w:r>
              <w:rPr>
                <w:rFonts w:ascii="Calibri" w:hAnsi="Calibri"/>
                <w:b w:val="0"/>
                <w:color w:val="333333"/>
                <w:sz w:val="19"/>
              </w:rPr>
              <w:t xml:space="preserve">Observability &amp; Topology Platform</w:t>
            </w:r>
            <w:r/>
          </w:p>
        </w:tc>
        <w:tc>
          <w:tcPr>
            <w:tcBorders/>
            <w:tcW w:w="5102" w:type="dxa"/>
          </w:tcPr>
          <w:p>
            <w:pPr>
              <w:pBdr/>
              <w:spacing w:after="40" w:before="40"/>
              <w:ind/>
              <w:jc w:val="left"/>
              <w:rPr/>
            </w:pPr>
            <w:r>
              <w:rPr>
                <w:rFonts w:ascii="Calibri" w:hAnsi="Calibri"/>
                <w:b w:val="0"/>
                <w:color w:val="333333"/>
                <w:sz w:val="19"/>
              </w:rPr>
              <w:t xml:space="preserve">Metrics/logs/traces collection (OpenTelemetry), alerting engine, Service Graphs (auto-generated live dependency maps from trace data), dashboarding, webhook notifications</w:t>
            </w:r>
            <w:r/>
          </w:p>
        </w:tc>
      </w:tr>
      <w:tr>
        <w:trPr/>
        <w:tc>
          <w:tcPr>
            <w:tcBorders/>
            <w:tcW w:w="1984" w:type="dxa"/>
          </w:tcPr>
          <w:p>
            <w:pPr>
              <w:pBdr/>
              <w:spacing w:after="40" w:before="40"/>
              <w:ind/>
              <w:jc w:val="left"/>
              <w:rPr/>
            </w:pPr>
            <w:r>
              <w:rPr>
                <w:b/>
              </w:rPr>
            </w:r>
            <w:r>
              <w:rPr>
                <w:rFonts w:ascii="Calibri" w:hAnsi="Calibri"/>
                <w:b/>
                <w:color w:val="333333"/>
                <w:sz w:val="19"/>
              </w:rPr>
              <w:t xml:space="preserve">Middleware (n8n / Python)</w:t>
            </w:r>
            <w:r/>
          </w:p>
        </w:tc>
        <w:tc>
          <w:tcPr>
            <w:tcBorders/>
            <w:tcW w:w="2551" w:type="dxa"/>
          </w:tcPr>
          <w:p>
            <w:pPr>
              <w:pBdr/>
              <w:spacing w:after="40" w:before="40"/>
              <w:ind/>
              <w:jc w:val="left"/>
              <w:rPr/>
            </w:pPr>
            <w:r>
              <w:rPr>
                <w:rFonts w:ascii="Calibri" w:hAnsi="Calibri"/>
                <w:b w:val="0"/>
                <w:color w:val="333333"/>
                <w:sz w:val="19"/>
              </w:rPr>
              <w:t xml:space="preserve">Integration &amp; Automation Fabric</w:t>
            </w:r>
            <w:r/>
          </w:p>
        </w:tc>
        <w:tc>
          <w:tcPr>
            <w:tcBorders/>
            <w:tcW w:w="5102" w:type="dxa"/>
          </w:tcPr>
          <w:p>
            <w:pPr>
              <w:pBdr/>
              <w:spacing w:after="40" w:before="40"/>
              <w:ind/>
              <w:jc w:val="left"/>
              <w:rPr/>
            </w:pPr>
            <w:r>
              <w:rPr>
                <w:rFonts w:ascii="Calibri" w:hAnsi="Calibri"/>
                <w:b w:val="0"/>
                <w:color w:val="333333"/>
                <w:sz w:val="19"/>
              </w:rPr>
              <w:t xml:space="preserve">Event ingestion (Grafana webhooks), deduplication (alert fingerprinting), enrichment (service labels, priority mapping), ERPNext REST API orchestration, auto-close on recovery, escalation logic, retry/dead-letter handling, stateless horizontal scalability</w:t>
            </w:r>
            <w:r/>
          </w:p>
        </w:tc>
      </w:tr>
    </w:tbl>
    <w:p>
      <w:pPr>
        <w:pBdr/>
        <w:spacing/>
        <w:ind/>
        <w:rPr/>
      </w:pPr>
      <w:r>
        <w:rPr>
          <w:rFonts w:ascii="Calibri" w:hAnsi="Calibri"/>
          <w:b/>
          <w:color w:val="333333"/>
          <w:sz w:val="22"/>
        </w:rPr>
        <w:t xml:space="preserve">Integration Principle: </w:t>
      </w:r>
      <w:r>
        <w:rPr>
          <w:rFonts w:ascii="Calibri" w:hAnsi="Calibri"/>
          <w:b w:val="0"/>
          <w:color w:val="333333"/>
          <w:sz w:val="22"/>
        </w:rPr>
        <w:t xml:space="preserve">All cross-system communication flows through the middleware. ERPNext and Grafana remain the authoritative domains for their respective data; the middleware translates, enriches, and routes — it does not become a second system of record.</w:t>
      </w:r>
      <w:r/>
    </w:p>
    <w:p>
      <w:pPr>
        <w:pBdr>
          <w:bottom w:val="single" w:color="1a3c6e" w:sz="6" w:space="1"/>
        </w:pBdr>
        <w:spacing w:after="40" w:before="40"/>
        <w:ind/>
        <w:rPr/>
      </w:pPr>
      <w:r/>
      <w:r/>
    </w:p>
    <w:p>
      <w:pPr>
        <w:pStyle w:val="693"/>
        <w:pBdr/>
        <w:spacing/>
        <w:ind/>
        <w:rPr/>
      </w:pPr>
      <w:r>
        <w:t xml:space="preserve">3. Incident Management &amp; Automated Routing</w:t>
      </w:r>
      <w:r/>
    </w:p>
    <w:p>
      <w:pPr>
        <w:pStyle w:val="694"/>
        <w:pBdr/>
        <w:spacing/>
        <w:ind/>
        <w:rPr/>
      </w:pPr>
      <w:r>
        <w:t xml:space="preserve">3.1 End-to-End Flow</w:t>
      </w:r>
      <w:r/>
    </w:p>
    <w:p>
      <w:pPr>
        <w:pBdr/>
        <w:spacing/>
        <w:ind/>
        <w:rPr/>
      </w:pPr>
      <w:r>
        <w:rPr>
          <w:rFonts w:ascii="Calibri" w:hAnsi="Calibri"/>
          <w:b w:val="0"/>
          <w:color w:val="333333"/>
          <w:sz w:val="22"/>
        </w:rPr>
        <w:t xml:space="preserve">The following flow diagram illustrates the automated incident lifecycle from alert to resolution:</w:t>
      </w:r>
      <w:r/>
    </w:p>
    <w:p>
      <w:pPr>
        <w:pBdr/>
        <w:spacing/>
        <w:ind/>
        <w:rPr/>
      </w:pPr>
      <w:r>
        <w:rPr>
          <w:rFonts w:ascii="Calibri" w:hAnsi="Calibri"/>
          <w:b w:val="0"/>
          <w:color w:val="333333"/>
          <w:sz w:val="20"/>
        </w:rPr>
        <w:t xml:space="preserve">Grafana Alert (Prometheus/Loki/Tempo) → Webhook → Middleware (n8n or Python) → Deduplicate (Fingerprint Cache) → New: Enrich (Service Label, Priority, Runbook Link) → POS</w:t>
      </w:r>
      <w:r>
        <w:rPr>
          <w:rFonts w:ascii="Calibri" w:hAnsi="Calibri"/>
          <w:b w:val="0"/>
          <w:color w:val="333333"/>
          <w:sz w:val="20"/>
        </w:rPr>
        <w:t xml:space="preserve">T /api/resource/Issue → ERPNext Helpdesk (SLA Timer Starts) | Duplicate: Update Existing Ticket (Increment Counter) → Alert Resolved (Grafana) → Webhook → Middleware → Match Fingerprint → Auto-Close Ticket (if Workflow Allows) → Resolution Note + Timestamp</w:t>
      </w:r>
      <w:r/>
    </w:p>
    <w:p>
      <w:pPr>
        <w:pStyle w:val="694"/>
        <w:pBdr/>
        <w:spacing/>
        <w:ind/>
        <w:rPr/>
      </w:pPr>
      <w:r>
        <w:t xml:space="preserve">3.2 Key Behaviours</w:t>
      </w:r>
      <w:r/>
    </w:p>
    <w:tbl>
      <w:tblPr>
        <w:tblStyle w:val="753"/>
        <w:jc w:val="center"/>
        <w:tblW w:w="0" w:type="auto"/>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4680"/>
        <w:gridCol w:w="4680"/>
      </w:tblGrid>
      <w:tr>
        <w:trPr/>
        <w:tc>
          <w:tcPr>
            <w:shd w:val="clear" w:color="auto" w:fill="2e75b6"/>
            <w:tcBorders/>
            <w:tcW w:w="2268" w:type="dxa"/>
          </w:tcPr>
          <w:p>
            <w:pPr>
              <w:pBdr/>
              <w:spacing w:after="40" w:before="40"/>
              <w:ind/>
              <w:jc w:val="left"/>
              <w:rPr/>
            </w:pPr>
            <w:r>
              <w:rPr>
                <w:rFonts w:ascii="Calibri" w:hAnsi="Calibri"/>
                <w:b/>
                <w:color w:val="ffffff"/>
                <w:sz w:val="20"/>
              </w:rPr>
              <w:t xml:space="preserve">Behaviour</w:t>
            </w:r>
            <w:r/>
          </w:p>
        </w:tc>
        <w:tc>
          <w:tcPr>
            <w:shd w:val="clear" w:color="auto" w:fill="2e75b6"/>
            <w:tcBorders/>
            <w:tcW w:w="7370" w:type="dxa"/>
          </w:tcPr>
          <w:p>
            <w:pPr>
              <w:pBdr/>
              <w:spacing w:after="40" w:before="40"/>
              <w:ind/>
              <w:jc w:val="left"/>
              <w:rPr/>
            </w:pPr>
            <w:r>
              <w:rPr>
                <w:rFonts w:ascii="Calibri" w:hAnsi="Calibri"/>
                <w:b/>
                <w:color w:val="ffffff"/>
                <w:sz w:val="20"/>
              </w:rPr>
              <w:t xml:space="preserve">Implementation</w:t>
            </w:r>
            <w:r/>
          </w:p>
        </w:tc>
      </w:tr>
      <w:tr>
        <w:trPr/>
        <w:tc>
          <w:tcPr>
            <w:tcBorders/>
            <w:tcW w:w="2268" w:type="dxa"/>
          </w:tcPr>
          <w:p>
            <w:pPr>
              <w:pBdr/>
              <w:spacing w:after="40" w:before="40"/>
              <w:ind/>
              <w:jc w:val="left"/>
              <w:rPr/>
            </w:pPr>
            <w:r>
              <w:rPr>
                <w:rFonts w:ascii="Calibri" w:hAnsi="Calibri"/>
                <w:b/>
                <w:color w:val="333333"/>
                <w:sz w:val="19"/>
              </w:rPr>
              <w:t xml:space="preserve">Event Deduplication</w:t>
            </w:r>
            <w:r/>
          </w:p>
        </w:tc>
        <w:tc>
          <w:tcPr>
            <w:tcBorders/>
            <w:tcW w:w="7370" w:type="dxa"/>
          </w:tcPr>
          <w:p>
            <w:pPr>
              <w:pBdr/>
              <w:spacing w:after="40" w:before="40"/>
              <w:ind/>
              <w:jc w:val="left"/>
              <w:rPr/>
            </w:pPr>
            <w:r>
              <w:rPr>
                <w:rFonts w:ascii="Calibri" w:hAnsi="Calibri"/>
                <w:b w:val="0"/>
                <w:color w:val="333333"/>
                <w:sz w:val="19"/>
              </w:rPr>
              <w:t xml:space="preserve">Middleware </w:t>
            </w:r>
            <w:r>
              <w:rPr>
                <w:rFonts w:ascii="Calibri" w:hAnsi="Calibri"/>
                <w:b w:val="0"/>
                <w:color w:val="333333"/>
                <w:sz w:val="19"/>
              </w:rPr>
              <w:t xml:space="preserve">maintains an in-memory/Redis fingerprint cache (hash of alertname + labels + source). Duplicate alerts within a configurable window update the existing ERPNext ticket (increment occurrence counter, append latest timestamp) rather than creating new tickets.</w:t>
            </w:r>
            <w:r/>
          </w:p>
        </w:tc>
      </w:tr>
      <w:tr>
        <w:trPr/>
        <w:tc>
          <w:tcPr>
            <w:tcBorders/>
            <w:tcW w:w="2268" w:type="dxa"/>
          </w:tcPr>
          <w:p>
            <w:pPr>
              <w:pBdr/>
              <w:spacing w:after="40" w:before="40"/>
              <w:ind/>
              <w:jc w:val="left"/>
              <w:rPr/>
            </w:pPr>
            <w:r>
              <w:rPr>
                <w:rFonts w:ascii="Calibri" w:hAnsi="Calibri"/>
                <w:b/>
                <w:color w:val="333333"/>
                <w:sz w:val="19"/>
              </w:rPr>
              <w:t xml:space="preserve">Priority Mapping</w:t>
            </w:r>
            <w:r/>
          </w:p>
        </w:tc>
        <w:tc>
          <w:tcPr>
            <w:tcBorders/>
            <w:tcW w:w="7370" w:type="dxa"/>
          </w:tcPr>
          <w:p>
            <w:pPr>
              <w:pBdr/>
              <w:spacing w:after="40" w:before="40"/>
              <w:ind/>
              <w:jc w:val="left"/>
              <w:rPr/>
            </w:pPr>
            <w:r>
              <w:rPr>
                <w:rFonts w:ascii="Calibri" w:hAnsi="Calibri"/>
                <w:b w:val="0"/>
                <w:color w:val="333333"/>
                <w:sz w:val="19"/>
              </w:rPr>
              <w:t xml:space="preserve">Grafana alert severity (critical, warning, info) maps to ERPNext priority (P1, P2, P3) via a configurable lookup table in the middleware.</w:t>
            </w:r>
            <w:r/>
          </w:p>
        </w:tc>
      </w:tr>
      <w:tr>
        <w:trPr/>
        <w:tc>
          <w:tcPr>
            <w:tcBorders/>
            <w:tcW w:w="2268" w:type="dxa"/>
          </w:tcPr>
          <w:p>
            <w:pPr>
              <w:pBdr/>
              <w:spacing w:after="40" w:before="40"/>
              <w:ind/>
              <w:jc w:val="left"/>
              <w:rPr/>
            </w:pPr>
            <w:r>
              <w:rPr>
                <w:rFonts w:ascii="Calibri" w:hAnsi="Calibri"/>
                <w:b/>
                <w:color w:val="333333"/>
                <w:sz w:val="19"/>
              </w:rPr>
              <w:t xml:space="preserve">Auto-Close on Recovery</w:t>
            </w:r>
            <w:r/>
          </w:p>
        </w:tc>
        <w:tc>
          <w:tcPr>
            <w:tcBorders/>
            <w:tcW w:w="7370" w:type="dxa"/>
          </w:tcPr>
          <w:p>
            <w:pPr>
              <w:pBdr/>
              <w:spacing w:after="40" w:before="40"/>
              <w:ind/>
              <w:jc w:val="left"/>
              <w:rPr/>
            </w:pPr>
            <w:r>
              <w:rPr>
                <w:rFonts w:ascii="Calibri" w:hAnsi="Calibri"/>
                <w:b w:val="0"/>
                <w:color w:val="333333"/>
                <w:sz w:val="19"/>
              </w:rPr>
              <w:t xml:space="preserve">When Grafana fire</w:t>
            </w:r>
            <w:r>
              <w:rPr>
                <w:rFonts w:ascii="Calibri" w:hAnsi="Calibri"/>
                <w:b w:val="0"/>
                <w:color w:val="333333"/>
                <w:sz w:val="19"/>
              </w:rPr>
              <w:t xml:space="preserve">s a resolved webhook for a matching fingerprint, the middleware transitions the ERPNext ticket to Resolved (or Closed per workflow rules), appending a resolution note with the recovery timestamp. Tickets requiring human verification remain open per policy.</w:t>
            </w:r>
            <w:r/>
          </w:p>
        </w:tc>
      </w:tr>
      <w:tr>
        <w:trPr/>
        <w:tc>
          <w:tcPr>
            <w:tcBorders/>
            <w:tcW w:w="2268" w:type="dxa"/>
          </w:tcPr>
          <w:p>
            <w:pPr>
              <w:pBdr/>
              <w:spacing w:after="40" w:before="40"/>
              <w:ind/>
              <w:jc w:val="left"/>
              <w:rPr/>
            </w:pPr>
            <w:r>
              <w:rPr>
                <w:rFonts w:ascii="Calibri" w:hAnsi="Calibri"/>
                <w:b/>
                <w:color w:val="333333"/>
                <w:sz w:val="19"/>
              </w:rPr>
              <w:t xml:space="preserve">SLA Tracking</w:t>
            </w:r>
            <w:r/>
          </w:p>
        </w:tc>
        <w:tc>
          <w:tcPr>
            <w:tcBorders/>
            <w:tcW w:w="7370" w:type="dxa"/>
          </w:tcPr>
          <w:p>
            <w:pPr>
              <w:pBdr/>
              <w:spacing w:after="40" w:before="40"/>
              <w:ind/>
              <w:jc w:val="left"/>
              <w:rPr/>
            </w:pPr>
            <w:r>
              <w:rPr>
                <w:rFonts w:ascii="Calibri" w:hAnsi="Calibri"/>
                <w:b w:val="0"/>
                <w:color w:val="333333"/>
                <w:sz w:val="19"/>
              </w:rPr>
              <w:t xml:space="preserve">ERPNext Helpdesk native SLA engine calculates response/resolution deadlines based on priority, support hours, and calendar. Breach warnings and escalations are generated natively.</w:t>
            </w:r>
            <w:r/>
          </w:p>
        </w:tc>
      </w:tr>
      <w:tr>
        <w:trPr/>
        <w:tc>
          <w:tcPr>
            <w:tcBorders/>
            <w:tcW w:w="2268" w:type="dxa"/>
          </w:tcPr>
          <w:p>
            <w:pPr>
              <w:pBdr/>
              <w:spacing w:after="40" w:before="40"/>
              <w:ind/>
              <w:jc w:val="left"/>
              <w:rPr/>
            </w:pPr>
            <w:r>
              <w:rPr>
                <w:rFonts w:ascii="Calibri" w:hAnsi="Calibri"/>
                <w:b/>
                <w:color w:val="333333"/>
                <w:sz w:val="19"/>
              </w:rPr>
              <w:t xml:space="preserve">Enrichment</w:t>
            </w:r>
            <w:r/>
          </w:p>
        </w:tc>
        <w:tc>
          <w:tcPr>
            <w:tcBorders/>
            <w:tcW w:w="7370" w:type="dxa"/>
          </w:tcPr>
          <w:p>
            <w:pPr>
              <w:pBdr/>
              <w:spacing w:after="40" w:before="40"/>
              <w:ind/>
              <w:jc w:val="left"/>
              <w:rPr/>
            </w:pPr>
            <w:r>
              <w:rPr>
                <w:rFonts w:ascii="Calibri" w:hAnsi="Calibri"/>
                <w:b w:val="0"/>
                <w:color w:val="333333"/>
                <w:sz w:val="19"/>
              </w:rPr>
              <w:t xml:space="preserve">Middleware injects service name, runbook URL, and owning team into the ticket description and custom fields, enabling immediate context for the on-call engineer.</w:t>
            </w:r>
            <w:r/>
          </w:p>
        </w:tc>
      </w:tr>
    </w:tbl>
    <w:p>
      <w:pPr>
        <w:pBdr>
          <w:bottom w:val="single" w:color="1a3c6e" w:sz="6" w:space="1"/>
        </w:pBdr>
        <w:spacing w:after="40" w:before="40"/>
        <w:ind/>
        <w:rPr/>
      </w:pPr>
      <w:r/>
      <w:r/>
    </w:p>
    <w:p>
      <w:pPr>
        <w:pStyle w:val="693"/>
        <w:pBdr/>
        <w:spacing/>
        <w:ind/>
        <w:rPr/>
      </w:pPr>
      <w:r>
        <w:t xml:space="preserve">4. Unified Change Management</w:t>
      </w:r>
      <w:r/>
    </w:p>
    <w:p>
      <w:pPr>
        <w:pStyle w:val="694"/>
        <w:pBdr/>
        <w:spacing/>
        <w:ind/>
        <w:rPr/>
      </w:pPr>
      <w:r>
        <w:t xml:space="preserve">4.1 Single Source of Truth: ERPNext Custom Change Request DocType</w:t>
      </w:r>
      <w:r/>
    </w:p>
    <w:p>
      <w:pPr>
        <w:pBdr/>
        <w:spacing/>
        <w:ind/>
        <w:rPr/>
      </w:pPr>
      <w:r>
        <w:rPr>
          <w:rFonts w:ascii="Calibri" w:hAnsi="Calibri"/>
          <w:b w:val="0"/>
          <w:color w:val="333333"/>
          <w:sz w:val="22"/>
        </w:rPr>
        <w:t xml:space="preserve">All changes — </w:t>
      </w:r>
      <w:r>
        <w:rPr>
          <w:rFonts w:ascii="Calibri" w:hAnsi="Calibri"/>
          <w:b/>
          <w:color w:val="333333"/>
          <w:sz w:val="22"/>
        </w:rPr>
        <w:t xml:space="preserve">code deployments, infrastructure modifications, hardware swaps, vendor changes, network reconfigurations, configuration updates</w:t>
      </w:r>
      <w:r>
        <w:rPr>
          <w:rFonts w:ascii="Calibri" w:hAnsi="Calibri"/>
          <w:b w:val="0"/>
          <w:color w:val="333333"/>
          <w:sz w:val="22"/>
        </w:rPr>
        <w:t xml:space="preserve"> — are tracked through a single ERPNext Custom DocType: Change Request. This DocType is the authoritative record for:</w:t>
      </w:r>
      <w:r/>
    </w:p>
    <w:p>
      <w:pPr>
        <w:pStyle w:val="723"/>
        <w:pBdr/>
        <w:spacing/>
        <w:ind/>
        <w:rPr/>
      </w:pPr>
      <w:r>
        <w:rPr>
          <w:rFonts w:ascii="Calibri" w:hAnsi="Calibri"/>
          <w:b w:val="0"/>
          <w:color w:val="333333"/>
          <w:sz w:val="22"/>
        </w:rPr>
        <w:t xml:space="preserve">Change description, justification, and business impact</w:t>
      </w:r>
      <w:r/>
    </w:p>
    <w:p>
      <w:pPr>
        <w:pStyle w:val="723"/>
        <w:pBdr/>
        <w:spacing/>
        <w:ind/>
        <w:rPr/>
      </w:pPr>
      <w:r>
        <w:rPr>
          <w:rFonts w:ascii="Calibri" w:hAnsi="Calibri"/>
          <w:b w:val="0"/>
          <w:color w:val="333333"/>
          <w:sz w:val="22"/>
        </w:rPr>
        <w:t xml:space="preserve">Risk assessment (impact × likelihood matrix with automated scoring)</w:t>
      </w:r>
      <w:r/>
    </w:p>
    <w:p>
      <w:pPr>
        <w:pStyle w:val="723"/>
        <w:pBdr/>
        <w:spacing/>
        <w:ind/>
        <w:rPr/>
      </w:pPr>
      <w:r>
        <w:rPr>
          <w:rFonts w:ascii="Calibri" w:hAnsi="Calibri"/>
          <w:b w:val="0"/>
          <w:color w:val="333333"/>
          <w:sz w:val="22"/>
        </w:rPr>
        <w:t xml:space="preserve">Affected services and configuration items (linked via service labels from Grafana/Topology)</w:t>
      </w:r>
      <w:r/>
    </w:p>
    <w:p>
      <w:pPr>
        <w:pStyle w:val="723"/>
        <w:pBdr/>
        <w:spacing/>
        <w:ind/>
        <w:rPr/>
      </w:pPr>
      <w:r>
        <w:rPr>
          <w:rFonts w:ascii="Calibri" w:hAnsi="Calibri"/>
          <w:b w:val="0"/>
          <w:color w:val="333333"/>
          <w:sz w:val="22"/>
        </w:rPr>
        <w:t xml:space="preserve">Implementation plan, testing procedures, validation criteria, and rollback plan</w:t>
      </w:r>
      <w:r/>
    </w:p>
    <w:p>
      <w:pPr>
        <w:pStyle w:val="723"/>
        <w:pBdr/>
        <w:spacing/>
        <w:ind/>
        <w:rPr/>
      </w:pPr>
      <w:r>
        <w:rPr>
          <w:rFonts w:ascii="Calibri" w:hAnsi="Calibri"/>
          <w:b w:val="0"/>
          <w:color w:val="333333"/>
          <w:sz w:val="22"/>
        </w:rPr>
        <w:t xml:space="preserve">Approval chain (Workflow: Draft → Risk Assessment → Pending Approval → Approved for Deployment → Implemented → Post-Implementation Review → Closed)</w:t>
      </w:r>
      <w:r/>
    </w:p>
    <w:p>
      <w:pPr>
        <w:pStyle w:val="723"/>
        <w:pBdr/>
        <w:spacing/>
        <w:ind/>
        <w:rPr/>
      </w:pPr>
      <w:r>
        <w:rPr>
          <w:rFonts w:ascii="Calibri" w:hAnsi="Calibri"/>
          <w:b w:val="0"/>
          <w:color w:val="333333"/>
          <w:sz w:val="22"/>
        </w:rPr>
        <w:t xml:space="preserve">Complete audit trail (ERPNext Activity Log captures every transition, comment, and field change with user and timestamp)</w:t>
      </w:r>
      <w:r/>
    </w:p>
    <w:p>
      <w:pPr>
        <w:pStyle w:val="694"/>
        <w:pBdr/>
        <w:spacing/>
        <w:ind/>
        <w:rPr/>
      </w:pPr>
      <w:r>
        <w:t xml:space="preserve">4.2 Git Pull Requests as Implementation Mechanism (Code Changes)</w:t>
      </w:r>
      <w:r/>
    </w:p>
    <w:p>
      <w:pPr>
        <w:pBdr/>
        <w:spacing/>
        <w:ind/>
        <w:rPr/>
      </w:pPr>
      <w:r>
        <w:rPr>
          <w:rFonts w:ascii="Calibri" w:hAnsi="Calibri"/>
          <w:b w:val="0"/>
          <w:color w:val="333333"/>
          <w:sz w:val="22"/>
        </w:rPr>
        <w:t xml:space="preserve">For code deployments, the Git Pull Request is the implementation vehicle, not the change record itself.</w:t>
      </w:r>
      <w:r/>
    </w:p>
    <w:tbl>
      <w:tblPr>
        <w:tblStyle w:val="753"/>
        <w:jc w:val="center"/>
        <w:tblW w:w="0" w:type="auto"/>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4680"/>
        <w:gridCol w:w="4680"/>
      </w:tblGrid>
      <w:tr>
        <w:trPr/>
        <w:tc>
          <w:tcPr>
            <w:shd w:val="clear" w:color="auto" w:fill="2e75b6"/>
            <w:tcBorders/>
            <w:tcW w:w="1984" w:type="dxa"/>
          </w:tcPr>
          <w:p>
            <w:pPr>
              <w:pBdr/>
              <w:spacing w:after="40" w:before="40"/>
              <w:ind/>
              <w:jc w:val="left"/>
              <w:rPr/>
            </w:pPr>
            <w:r>
              <w:rPr>
                <w:rFonts w:ascii="Calibri" w:hAnsi="Calibri"/>
                <w:b/>
                <w:color w:val="ffffff"/>
                <w:sz w:val="20"/>
              </w:rPr>
              <w:t xml:space="preserve">Aspect</w:t>
            </w:r>
            <w:r/>
          </w:p>
        </w:tc>
        <w:tc>
          <w:tcPr>
            <w:shd w:val="clear" w:color="auto" w:fill="2e75b6"/>
            <w:tcBorders/>
            <w:tcW w:w="7654" w:type="dxa"/>
          </w:tcPr>
          <w:p>
            <w:pPr>
              <w:pBdr/>
              <w:spacing w:after="40" w:before="40"/>
              <w:ind/>
              <w:jc w:val="left"/>
              <w:rPr/>
            </w:pPr>
            <w:r>
              <w:rPr>
                <w:rFonts w:ascii="Calibri" w:hAnsi="Calibri"/>
                <w:b/>
                <w:color w:val="ffffff"/>
                <w:sz w:val="20"/>
              </w:rPr>
              <w:t xml:space="preserve">Implementation</w:t>
            </w:r>
            <w:r/>
          </w:p>
        </w:tc>
      </w:tr>
      <w:tr>
        <w:trPr/>
        <w:tc>
          <w:tcPr>
            <w:tcBorders/>
            <w:tcW w:w="1984" w:type="dxa"/>
          </w:tcPr>
          <w:p>
            <w:pPr>
              <w:pBdr/>
              <w:spacing w:after="40" w:before="40"/>
              <w:ind/>
              <w:jc w:val="left"/>
              <w:rPr/>
            </w:pPr>
            <w:r>
              <w:rPr>
                <w:rFonts w:ascii="Calibri" w:hAnsi="Calibri"/>
                <w:b/>
                <w:color w:val="333333"/>
                <w:sz w:val="19"/>
              </w:rPr>
              <w:t xml:space="preserve">Traceability</w:t>
            </w:r>
            <w:r/>
          </w:p>
        </w:tc>
        <w:tc>
          <w:tcPr>
            <w:tcBorders/>
            <w:tcW w:w="7654" w:type="dxa"/>
          </w:tcPr>
          <w:p>
            <w:pPr>
              <w:pBdr/>
              <w:spacing w:after="40" w:before="40"/>
              <w:ind/>
              <w:jc w:val="left"/>
              <w:rPr/>
            </w:pPr>
            <w:r>
              <w:rPr>
                <w:rFonts w:ascii="Calibri" w:hAnsi="Calibri"/>
                <w:b w:val="0"/>
                <w:color w:val="333333"/>
                <w:sz w:val="19"/>
              </w:rPr>
              <w:t xml:space="preserve">Every PR must include the ERPNext Change Request ID in the PR title and/or description (enforced via branch protection + required status check).</w:t>
            </w:r>
            <w:r/>
          </w:p>
        </w:tc>
      </w:tr>
      <w:tr>
        <w:trPr/>
        <w:tc>
          <w:tcPr>
            <w:tcBorders/>
            <w:tcW w:w="1984" w:type="dxa"/>
          </w:tcPr>
          <w:p>
            <w:pPr>
              <w:pBdr/>
              <w:spacing w:after="40" w:before="40"/>
              <w:ind/>
              <w:jc w:val="left"/>
              <w:rPr/>
            </w:pPr>
            <w:r>
              <w:rPr>
                <w:rFonts w:ascii="Calibri" w:hAnsi="Calibri"/>
                <w:b/>
                <w:color w:val="333333"/>
                <w:sz w:val="19"/>
              </w:rPr>
              <w:t xml:space="preserve">Approval Gate</w:t>
            </w:r>
            <w:r/>
          </w:p>
        </w:tc>
        <w:tc>
          <w:tcPr>
            <w:tcBorders/>
            <w:tcW w:w="7654" w:type="dxa"/>
          </w:tcPr>
          <w:p>
            <w:pPr>
              <w:pBdr/>
              <w:spacing w:after="40" w:before="40"/>
              <w:ind/>
              <w:jc w:val="left"/>
              <w:rPr/>
            </w:pPr>
            <w:r>
              <w:rPr>
                <w:rFonts w:ascii="Calibri" w:hAnsi="Calibri"/>
                <w:b w:val="0"/>
                <w:color w:val="333333"/>
                <w:sz w:val="19"/>
              </w:rPr>
              <w:t xml:space="preserve">The ERPNext Change Request must reach Approved for Deployment state before the PR can be merged. The middleware or a GitHub Action validates this state via ERPNext API.</w:t>
            </w:r>
            <w:r/>
          </w:p>
        </w:tc>
      </w:tr>
      <w:tr>
        <w:trPr/>
        <w:tc>
          <w:tcPr>
            <w:tcBorders/>
            <w:tcW w:w="1984" w:type="dxa"/>
          </w:tcPr>
          <w:p>
            <w:pPr>
              <w:pBdr/>
              <w:spacing w:after="40" w:before="40"/>
              <w:ind/>
              <w:jc w:val="left"/>
              <w:rPr/>
            </w:pPr>
            <w:r>
              <w:rPr>
                <w:rFonts w:ascii="Calibri" w:hAnsi="Calibri"/>
                <w:b/>
                <w:color w:val="333333"/>
                <w:sz w:val="19"/>
              </w:rPr>
              <w:t xml:space="preserve">Evidence Capture</w:t>
            </w:r>
            <w:r/>
          </w:p>
        </w:tc>
        <w:tc>
          <w:tcPr>
            <w:tcBorders/>
            <w:tcW w:w="7654" w:type="dxa"/>
          </w:tcPr>
          <w:p>
            <w:pPr>
              <w:pBdr/>
              <w:spacing w:after="40" w:before="40"/>
              <w:ind/>
              <w:jc w:val="left"/>
              <w:rPr/>
            </w:pPr>
            <w:r>
              <w:rPr>
                <w:rFonts w:ascii="Calibri" w:hAnsi="Calibri"/>
                <w:b w:val="0"/>
                <w:color w:val="333333"/>
                <w:sz w:val="19"/>
              </w:rPr>
              <w:t xml:space="preserve">Upon merge, the middleware (or CI/CD webhook) posts deployment evidence — commit SHA, pipeline run URL, test results — back to the ERPNext Change Request.</w:t>
            </w:r>
            <w:r/>
          </w:p>
        </w:tc>
      </w:tr>
      <w:tr>
        <w:trPr/>
        <w:tc>
          <w:tcPr>
            <w:tcBorders/>
            <w:tcW w:w="1984" w:type="dxa"/>
          </w:tcPr>
          <w:p>
            <w:pPr>
              <w:pBdr/>
              <w:spacing w:after="40" w:before="40"/>
              <w:ind/>
              <w:jc w:val="left"/>
              <w:rPr/>
            </w:pPr>
            <w:r>
              <w:rPr>
                <w:rFonts w:ascii="Calibri" w:hAnsi="Calibri"/>
                <w:b/>
                <w:color w:val="333333"/>
                <w:sz w:val="19"/>
              </w:rPr>
              <w:t xml:space="preserve">Rollback Linkage</w:t>
            </w:r>
            <w:r/>
          </w:p>
        </w:tc>
        <w:tc>
          <w:tcPr>
            <w:tcBorders/>
            <w:tcW w:w="7654" w:type="dxa"/>
          </w:tcPr>
          <w:p>
            <w:pPr>
              <w:pBdr/>
              <w:spacing w:after="40" w:before="40"/>
              <w:ind/>
              <w:jc w:val="left"/>
              <w:rPr/>
            </w:pPr>
            <w:r>
              <w:rPr>
                <w:rFonts w:ascii="Calibri" w:hAnsi="Calibri"/>
                <w:b w:val="0"/>
                <w:color w:val="333333"/>
                <w:sz w:val="19"/>
              </w:rPr>
              <w:t xml:space="preserve">If a rollback occurs, the revert PR references the same Change Request ID, and the middleware records the rollback evidence and timestamp.</w:t>
            </w:r>
            <w:r/>
          </w:p>
        </w:tc>
      </w:tr>
    </w:tbl>
    <w:p>
      <w:pPr>
        <w:pStyle w:val="694"/>
        <w:pBdr/>
        <w:spacing/>
        <w:ind/>
        <w:rPr/>
      </w:pPr>
      <w:r>
        <w:t xml:space="preserve">4.3 Non-Code Changes</w:t>
      </w:r>
      <w:r/>
    </w:p>
    <w:p>
      <w:pPr>
        <w:pBdr/>
        <w:spacing/>
        <w:ind/>
        <w:rPr/>
      </w:pPr>
      <w:r>
        <w:rPr>
          <w:rFonts w:ascii="Calibri" w:hAnsi="Calibri"/>
          <w:b w:val="0"/>
          <w:color w:val="333333"/>
          <w:sz w:val="22"/>
        </w:rPr>
        <w:t xml:space="preserve">Infrastructure, hardware, vendor,</w:t>
      </w:r>
      <w:r>
        <w:rPr>
          <w:rFonts w:ascii="Calibri" w:hAnsi="Calibri"/>
          <w:b w:val="0"/>
          <w:color w:val="333333"/>
          <w:sz w:val="22"/>
        </w:rPr>
        <w:t xml:space="preserve"> and configuration changes follow the exact same ERPNext Change Request workflow. No separate process, no separate tool. The implementation evidence differs (Ansible run output, vendor ticket ID, network config diff), but the governance model is identical.</w:t>
      </w:r>
      <w:r/>
    </w:p>
    <w:p>
      <w:pPr>
        <w:pBdr>
          <w:bottom w:val="single" w:color="1a3c6e" w:sz="6" w:space="1"/>
        </w:pBdr>
        <w:spacing w:after="40" w:before="40"/>
        <w:ind/>
        <w:rPr/>
      </w:pPr>
      <w:r/>
      <w:r/>
    </w:p>
    <w:p>
      <w:pPr>
        <w:pStyle w:val="693"/>
        <w:pBdr/>
        <w:spacing/>
        <w:ind/>
        <w:rPr/>
      </w:pPr>
      <w:r>
        <w:t xml:space="preserve">5. Service Topology &amp; Dependency Mapping</w:t>
      </w:r>
      <w:r/>
    </w:p>
    <w:p>
      <w:pPr>
        <w:pStyle w:val="694"/>
        <w:pBdr/>
        <w:spacing/>
        <w:ind/>
        <w:rPr/>
      </w:pPr>
      <w:r>
        <w:t xml:space="preserve">5.1 Modern Approach: Live + Version-Controlled</w:t>
      </w:r>
      <w:r/>
    </w:p>
    <w:p>
      <w:pPr>
        <w:pBdr/>
        <w:spacing/>
        <w:ind/>
        <w:rPr/>
      </w:pPr>
      <w:r>
        <w:rPr>
          <w:rFonts w:ascii="Calibri" w:hAnsi="Calibri"/>
          <w:b w:val="0"/>
          <w:color w:val="333333"/>
          <w:sz w:val="22"/>
        </w:rPr>
        <w:t xml:space="preserve">We reject the </w:t>
      </w:r>
      <w:r>
        <w:rPr>
          <w:rFonts w:ascii="Calibri" w:hAnsi="Calibri"/>
          <w:b w:val="0"/>
          <w:color w:val="333333"/>
          <w:sz w:val="22"/>
        </w:rPr>
        <w:t xml:space="preserve">traditional, manually-maintained enterprise CMDB as a prerequisite for service visibility. Instead, we employ a dual-layer topology strategy that is always current, requires no dedicated CMDB administration, and satisfies the intent of INT-004 and INT-005.</w:t>
      </w:r>
      <w:r/>
    </w:p>
    <w:tbl>
      <w:tblPr>
        <w:tblStyle w:val="753"/>
        <w:jc w:val="center"/>
        <w:tblW w:w="0" w:type="auto"/>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340"/>
        <w:gridCol w:w="2340"/>
        <w:gridCol w:w="2340"/>
        <w:gridCol w:w="2340"/>
      </w:tblGrid>
      <w:tr>
        <w:trPr/>
        <w:tc>
          <w:tcPr>
            <w:shd w:val="clear" w:color="auto" w:fill="2e75b6"/>
            <w:tcBorders/>
            <w:tcW w:w="1984" w:type="dxa"/>
          </w:tcPr>
          <w:p>
            <w:pPr>
              <w:pBdr/>
              <w:spacing w:after="40" w:before="40"/>
              <w:ind/>
              <w:jc w:val="left"/>
              <w:rPr/>
            </w:pPr>
            <w:r>
              <w:rPr>
                <w:rFonts w:ascii="Calibri" w:hAnsi="Calibri"/>
                <w:b/>
                <w:color w:val="ffffff"/>
                <w:sz w:val="20"/>
              </w:rPr>
              <w:t xml:space="preserve">Layer</w:t>
            </w:r>
            <w:r/>
          </w:p>
        </w:tc>
        <w:tc>
          <w:tcPr>
            <w:shd w:val="clear" w:color="auto" w:fill="2e75b6"/>
            <w:tcBorders/>
            <w:tcW w:w="2268" w:type="dxa"/>
          </w:tcPr>
          <w:p>
            <w:pPr>
              <w:pBdr/>
              <w:spacing w:after="40" w:before="40"/>
              <w:ind/>
              <w:jc w:val="left"/>
              <w:rPr/>
            </w:pPr>
            <w:r>
              <w:rPr>
                <w:rFonts w:ascii="Calibri" w:hAnsi="Calibri"/>
                <w:b/>
                <w:color w:val="ffffff"/>
                <w:sz w:val="20"/>
              </w:rPr>
              <w:t xml:space="preserve">Technology</w:t>
            </w:r>
            <w:r/>
          </w:p>
        </w:tc>
        <w:tc>
          <w:tcPr>
            <w:shd w:val="clear" w:color="auto" w:fill="2e75b6"/>
            <w:tcBorders/>
            <w:tcW w:w="3969" w:type="dxa"/>
          </w:tcPr>
          <w:p>
            <w:pPr>
              <w:pBdr/>
              <w:spacing w:after="40" w:before="40"/>
              <w:ind/>
              <w:jc w:val="left"/>
              <w:rPr/>
            </w:pPr>
            <w:r>
              <w:rPr>
                <w:rFonts w:ascii="Calibri" w:hAnsi="Calibri"/>
                <w:b/>
                <w:color w:val="ffffff"/>
                <w:sz w:val="20"/>
              </w:rPr>
              <w:t xml:space="preserve">Purpose</w:t>
            </w:r>
            <w:r/>
          </w:p>
        </w:tc>
        <w:tc>
          <w:tcPr>
            <w:shd w:val="clear" w:color="auto" w:fill="2e75b6"/>
            <w:tcBorders/>
            <w:tcW w:w="1984" w:type="dxa"/>
          </w:tcPr>
          <w:p>
            <w:pPr>
              <w:pBdr/>
              <w:spacing w:after="40" w:before="40"/>
              <w:ind/>
              <w:jc w:val="left"/>
              <w:rPr/>
            </w:pPr>
            <w:r>
              <w:rPr>
                <w:rFonts w:ascii="Calibri" w:hAnsi="Calibri"/>
                <w:b/>
                <w:color w:val="ffffff"/>
                <w:sz w:val="20"/>
              </w:rPr>
              <w:t xml:space="preserve">Update Cadence</w:t>
            </w:r>
            <w:r/>
          </w:p>
        </w:tc>
      </w:tr>
      <w:tr>
        <w:trPr/>
        <w:tc>
          <w:tcPr>
            <w:tcBorders/>
            <w:tcW w:w="1984" w:type="dxa"/>
          </w:tcPr>
          <w:p>
            <w:pPr>
              <w:pBdr/>
              <w:spacing w:after="40" w:before="40"/>
              <w:ind/>
              <w:jc w:val="left"/>
              <w:rPr/>
            </w:pPr>
            <w:r>
              <w:rPr>
                <w:b/>
              </w:rPr>
            </w:r>
            <w:r>
              <w:rPr>
                <w:rFonts w:ascii="Calibri" w:hAnsi="Calibri"/>
                <w:b/>
                <w:color w:val="333333"/>
                <w:sz w:val="19"/>
              </w:rPr>
              <w:t xml:space="preserve">Live Dependency Map</w:t>
            </w:r>
            <w:r/>
          </w:p>
        </w:tc>
        <w:tc>
          <w:tcPr>
            <w:tcBorders/>
            <w:tcW w:w="2268" w:type="dxa"/>
          </w:tcPr>
          <w:p>
            <w:pPr>
              <w:pBdr/>
              <w:spacing w:after="40" w:before="40"/>
              <w:ind/>
              <w:jc w:val="left"/>
              <w:rPr/>
            </w:pPr>
            <w:r>
              <w:rPr>
                <w:rFonts w:ascii="Calibri" w:hAnsi="Calibri"/>
                <w:b w:val="0"/>
                <w:color w:val="333333"/>
                <w:sz w:val="19"/>
              </w:rPr>
              <w:t xml:space="preserve">Grafana Service Graphs (powered by OpenTelemetry traces)</w:t>
            </w:r>
            <w:r/>
          </w:p>
        </w:tc>
        <w:tc>
          <w:tcPr>
            <w:tcBorders/>
            <w:tcW w:w="3969" w:type="dxa"/>
          </w:tcPr>
          <w:p>
            <w:pPr>
              <w:pBdr/>
              <w:spacing w:after="40" w:before="40"/>
              <w:ind/>
              <w:jc w:val="left"/>
              <w:rPr/>
            </w:pPr>
            <w:r>
              <w:rPr>
                <w:rFonts w:ascii="Calibri" w:hAnsi="Calibri"/>
                <w:b w:val="0"/>
                <w:color w:val="333333"/>
                <w:sz w:val="19"/>
              </w:rPr>
              <w:t xml:space="preserve">Real-time, auto-generated view of service-to-service calls, latency, error rates, and throughput. Shows actual runtime dependencies.</w:t>
            </w:r>
            <w:r/>
          </w:p>
        </w:tc>
        <w:tc>
          <w:tcPr>
            <w:tcBorders/>
            <w:tcW w:w="1984" w:type="dxa"/>
          </w:tcPr>
          <w:p>
            <w:pPr>
              <w:pBdr/>
              <w:spacing w:after="40" w:before="40"/>
              <w:ind/>
              <w:jc w:val="left"/>
              <w:rPr/>
            </w:pPr>
            <w:r>
              <w:rPr>
                <w:rFonts w:ascii="Calibri" w:hAnsi="Calibri"/>
                <w:b w:val="0"/>
                <w:color w:val="333333"/>
                <w:sz w:val="19"/>
              </w:rPr>
              <w:t xml:space="preserve">Continuous (driven by live trace ingestion)</w:t>
            </w:r>
            <w:r/>
          </w:p>
        </w:tc>
      </w:tr>
      <w:tr>
        <w:trPr/>
        <w:tc>
          <w:tcPr>
            <w:tcBorders/>
            <w:tcW w:w="1984" w:type="dxa"/>
          </w:tcPr>
          <w:p>
            <w:pPr>
              <w:pBdr/>
              <w:spacing w:after="40" w:before="40"/>
              <w:ind/>
              <w:jc w:val="left"/>
              <w:rPr/>
            </w:pPr>
            <w:r>
              <w:rPr>
                <w:b/>
              </w:rPr>
            </w:r>
            <w:r>
              <w:rPr>
                <w:rFonts w:ascii="Calibri" w:hAnsi="Calibri"/>
                <w:b/>
                <w:color w:val="333333"/>
                <w:sz w:val="19"/>
              </w:rPr>
              <w:t xml:space="preserve">Architecture Reference Map</w:t>
            </w:r>
            <w:r/>
          </w:p>
        </w:tc>
        <w:tc>
          <w:tcPr>
            <w:tcBorders/>
            <w:tcW w:w="2268" w:type="dxa"/>
          </w:tcPr>
          <w:p>
            <w:pPr>
              <w:pBdr/>
              <w:spacing w:after="40" w:before="40"/>
              <w:ind/>
              <w:jc w:val="left"/>
              <w:rPr/>
            </w:pPr>
            <w:r>
              <w:rPr>
                <w:rFonts w:ascii="Calibri" w:hAnsi="Calibri"/>
                <w:b w:val="0"/>
                <w:color w:val="333333"/>
                <w:sz w:val="19"/>
              </w:rPr>
              <w:t xml:space="preserve">Diagram-as-Code (Mermaid.js in Git)</w:t>
            </w:r>
            <w:r/>
          </w:p>
        </w:tc>
        <w:tc>
          <w:tcPr>
            <w:tcBorders/>
            <w:tcW w:w="3969" w:type="dxa"/>
          </w:tcPr>
          <w:p>
            <w:pPr>
              <w:pBdr/>
              <w:spacing w:after="40" w:before="40"/>
              <w:ind/>
              <w:jc w:val="left"/>
              <w:rPr/>
            </w:pPr>
            <w:r>
              <w:rPr>
                <w:rFonts w:ascii="Calibri" w:hAnsi="Calibri"/>
                <w:b w:val="0"/>
                <w:color w:val="333333"/>
                <w:sz w:val="19"/>
              </w:rPr>
              <w:t xml:space="preserve">Version-controlled, high-level architecture diagrams: system context, deployment topology, data flows, trust boundaries. Reviewed and approved in Git PRs.</w:t>
            </w:r>
            <w:r/>
          </w:p>
        </w:tc>
        <w:tc>
          <w:tcPr>
            <w:tcBorders/>
            <w:tcW w:w="1984" w:type="dxa"/>
          </w:tcPr>
          <w:p>
            <w:pPr>
              <w:pBdr/>
              <w:spacing w:after="40" w:before="40"/>
              <w:ind/>
              <w:jc w:val="left"/>
              <w:rPr/>
            </w:pPr>
            <w:r>
              <w:rPr>
                <w:rFonts w:ascii="Calibri" w:hAnsi="Calibri"/>
                <w:b w:val="0"/>
                <w:color w:val="333333"/>
                <w:sz w:val="19"/>
              </w:rPr>
              <w:t xml:space="preserve">On architectural change (Git commit)</w:t>
            </w:r>
            <w:r/>
          </w:p>
        </w:tc>
      </w:tr>
    </w:tbl>
    <w:p>
      <w:pPr>
        <w:pStyle w:val="694"/>
        <w:pBdr/>
        <w:spacing/>
        <w:ind/>
        <w:rPr/>
      </w:pPr>
      <w:r>
        <w:t xml:space="preserve">5.2 Integration with Incident &amp; Change Management</w:t>
      </w:r>
      <w:r/>
    </w:p>
    <w:p>
      <w:pPr>
        <w:pStyle w:val="723"/>
        <w:pBdr/>
        <w:spacing/>
        <w:ind/>
        <w:rPr/>
      </w:pPr>
      <w:r>
        <w:rPr>
          <w:rFonts w:ascii="Calibri" w:hAnsi="Calibri"/>
          <w:b/>
          <w:color w:val="333333"/>
          <w:sz w:val="22"/>
        </w:rPr>
        <w:t xml:space="preserve">Incident Enrichment:</w:t>
      </w:r>
      <w:r>
        <w:rPr>
          <w:rFonts w:ascii="Calibri" w:hAnsi="Calibri"/>
          <w:b w:val="0"/>
          <w:color w:val="333333"/>
          <w:sz w:val="22"/>
        </w:rPr>
        <w:t xml:space="preserve"> Middleware tags ERPNext tickets with the Grafana service label (from alert labels) and, where available, the upstream/downstream dependencies from the Service Graph.</w:t>
      </w:r>
      <w:r/>
    </w:p>
    <w:p>
      <w:pPr>
        <w:pStyle w:val="723"/>
        <w:pBdr/>
        <w:spacing/>
        <w:ind/>
        <w:rPr/>
      </w:pPr>
      <w:r>
        <w:rPr>
          <w:rFonts w:ascii="Calibri" w:hAnsi="Calibri"/>
          <w:b/>
          <w:color w:val="333333"/>
          <w:sz w:val="22"/>
        </w:rPr>
        <w:t xml:space="preserve">Change Impact Assessment:</w:t>
      </w:r>
      <w:r>
        <w:rPr>
          <w:rFonts w:ascii="Calibri" w:hAnsi="Calibri"/>
          <w:b w:val="0"/>
          <w:color w:val="333333"/>
          <w:sz w:val="22"/>
        </w:rPr>
        <w:t xml:space="preserve"> Change Request authors consult the live Service Graph and the Mermaid architecture maps to identify blast radius. Affected services are recorded as structured links on the Change Request.</w:t>
      </w:r>
      <w:r/>
    </w:p>
    <w:p>
      <w:pPr>
        <w:pStyle w:val="723"/>
        <w:pBdr/>
        <w:spacing/>
        <w:ind/>
        <w:rPr/>
      </w:pPr>
      <w:r>
        <w:rPr>
          <w:rFonts w:ascii="Calibri" w:hAnsi="Calibri"/>
          <w:b/>
          <w:color w:val="333333"/>
          <w:sz w:val="22"/>
        </w:rPr>
        <w:t xml:space="preserve">On-Call Routing:</w:t>
      </w:r>
      <w:r>
        <w:rPr>
          <w:rFonts w:ascii="Calibri" w:hAnsi="Calibri"/>
          <w:b w:val="0"/>
          <w:color w:val="333333"/>
          <w:sz w:val="22"/>
        </w:rPr>
        <w:t xml:space="preserve"> Service labels from the topology feed the middleware's escalation logic, ensuring alerts route to the correct owning team.</w:t>
      </w:r>
      <w:r/>
    </w:p>
    <w:p>
      <w:pPr>
        <w:pBdr>
          <w:bottom w:val="single" w:color="1a3c6e" w:sz="6" w:space="1"/>
        </w:pBdr>
        <w:spacing w:after="40" w:before="40"/>
        <w:ind/>
        <w:rPr/>
      </w:pPr>
      <w:r/>
      <w:r/>
    </w:p>
    <w:p>
      <w:pPr>
        <w:pStyle w:val="693"/>
        <w:pBdr/>
        <w:spacing/>
        <w:ind/>
        <w:rPr/>
      </w:pPr>
      <w:r>
        <w:t xml:space="preserve">6. Implementation Phases</w:t>
      </w:r>
      <w:r/>
    </w:p>
    <w:tbl>
      <w:tblPr>
        <w:tblStyle w:val="753"/>
        <w:jc w:val="center"/>
        <w:tblW w:w="0" w:type="auto"/>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1872"/>
        <w:gridCol w:w="1872"/>
        <w:gridCol w:w="1872"/>
        <w:gridCol w:w="1872"/>
        <w:gridCol w:w="1872"/>
      </w:tblGrid>
      <w:tr>
        <w:trPr/>
        <w:tc>
          <w:tcPr>
            <w:shd w:val="clear" w:color="auto" w:fill="2e75b6"/>
            <w:tcBorders/>
            <w:tcW w:w="1417" w:type="dxa"/>
          </w:tcPr>
          <w:p>
            <w:pPr>
              <w:pBdr/>
              <w:spacing w:after="40" w:before="40"/>
              <w:ind/>
              <w:jc w:val="left"/>
              <w:rPr/>
            </w:pPr>
            <w:r>
              <w:rPr>
                <w:rFonts w:ascii="Calibri" w:hAnsi="Calibri"/>
                <w:b/>
                <w:color w:val="ffffff"/>
                <w:sz w:val="18"/>
              </w:rPr>
              <w:t xml:space="preserve">Phase</w:t>
            </w:r>
            <w:r/>
          </w:p>
        </w:tc>
        <w:tc>
          <w:tcPr>
            <w:shd w:val="clear" w:color="auto" w:fill="2e75b6"/>
            <w:tcBorders/>
            <w:tcW w:w="1134" w:type="dxa"/>
          </w:tcPr>
          <w:p>
            <w:pPr>
              <w:pBdr/>
              <w:spacing w:after="40" w:before="40"/>
              <w:ind/>
              <w:jc w:val="left"/>
              <w:rPr/>
            </w:pPr>
            <w:r>
              <w:rPr>
                <w:rFonts w:ascii="Calibri" w:hAnsi="Calibri"/>
                <w:b/>
                <w:color w:val="ffffff"/>
                <w:sz w:val="18"/>
              </w:rPr>
              <w:t xml:space="preserve">Timeline</w:t>
            </w:r>
            <w:r/>
          </w:p>
        </w:tc>
        <w:tc>
          <w:tcPr>
            <w:shd w:val="clear" w:color="auto" w:fill="2e75b6"/>
            <w:tcBorders/>
            <w:tcW w:w="1701" w:type="dxa"/>
          </w:tcPr>
          <w:p>
            <w:pPr>
              <w:pBdr/>
              <w:spacing w:after="40" w:before="40"/>
              <w:ind/>
              <w:jc w:val="left"/>
              <w:rPr/>
            </w:pPr>
            <w:r>
              <w:rPr>
                <w:rFonts w:ascii="Calibri" w:hAnsi="Calibri"/>
                <w:b/>
                <w:color w:val="ffffff"/>
                <w:sz w:val="18"/>
              </w:rPr>
              <w:t xml:space="preserve">Focus</w:t>
            </w:r>
            <w:r/>
          </w:p>
        </w:tc>
        <w:tc>
          <w:tcPr>
            <w:shd w:val="clear" w:color="auto" w:fill="2e75b6"/>
            <w:tcBorders/>
            <w:tcW w:w="3402" w:type="dxa"/>
          </w:tcPr>
          <w:p>
            <w:pPr>
              <w:pBdr/>
              <w:spacing w:after="40" w:before="40"/>
              <w:ind/>
              <w:jc w:val="left"/>
              <w:rPr/>
            </w:pPr>
            <w:r>
              <w:rPr>
                <w:rFonts w:ascii="Calibri" w:hAnsi="Calibri"/>
                <w:b/>
                <w:color w:val="ffffff"/>
                <w:sz w:val="18"/>
              </w:rPr>
              <w:t xml:space="preserve">Key Deliverables</w:t>
            </w:r>
            <w:r/>
          </w:p>
        </w:tc>
        <w:tc>
          <w:tcPr>
            <w:shd w:val="clear" w:color="auto" w:fill="2e75b6"/>
            <w:tcBorders/>
            <w:tcW w:w="2551" w:type="dxa"/>
          </w:tcPr>
          <w:p>
            <w:pPr>
              <w:pBdr/>
              <w:spacing w:after="40" w:before="40"/>
              <w:ind/>
              <w:jc w:val="left"/>
              <w:rPr/>
            </w:pPr>
            <w:r>
              <w:rPr>
                <w:rFonts w:ascii="Calibri" w:hAnsi="Calibri"/>
                <w:b/>
                <w:color w:val="ffffff"/>
                <w:sz w:val="18"/>
              </w:rPr>
              <w:t xml:space="preserve">Acceptance Criteria</w:t>
            </w:r>
            <w:r/>
          </w:p>
        </w:tc>
      </w:tr>
      <w:tr>
        <w:trPr/>
        <w:tc>
          <w:tcPr>
            <w:tcBorders/>
            <w:tcW w:w="1417" w:type="dxa"/>
          </w:tcPr>
          <w:p>
            <w:pPr>
              <w:pBdr/>
              <w:spacing w:after="40" w:before="40"/>
              <w:ind/>
              <w:jc w:val="left"/>
              <w:rPr/>
            </w:pPr>
            <w:r>
              <w:rPr>
                <w:b/>
              </w:rPr>
            </w:r>
            <w:r>
              <w:rPr>
                <w:rFonts w:ascii="Calibri" w:hAnsi="Calibri"/>
                <w:b/>
                <w:color w:val="333333"/>
                <w:sz w:val="17"/>
              </w:rPr>
              <w:t xml:space="preserve">Phase 1</w:t>
              <w:br/>
              <w:t xml:space="preserve">Monitoring Pipeline</w:t>
            </w:r>
            <w:r/>
          </w:p>
        </w:tc>
        <w:tc>
          <w:tcPr>
            <w:tcBorders/>
            <w:tcW w:w="1134" w:type="dxa"/>
          </w:tcPr>
          <w:p>
            <w:pPr>
              <w:pBdr/>
              <w:spacing w:after="40" w:before="40"/>
              <w:ind/>
              <w:jc w:val="left"/>
              <w:rPr/>
            </w:pPr>
            <w:r>
              <w:rPr>
                <w:rFonts w:ascii="Calibri" w:hAnsi="Calibri"/>
                <w:b w:val="0"/>
                <w:color w:val="333333"/>
                <w:sz w:val="17"/>
              </w:rPr>
              <w:t xml:space="preserve">Weeks 1–2</w:t>
            </w:r>
            <w:r/>
          </w:p>
        </w:tc>
        <w:tc>
          <w:tcPr>
            <w:tcBorders/>
            <w:tcW w:w="1701" w:type="dxa"/>
          </w:tcPr>
          <w:p>
            <w:pPr>
              <w:pBdr/>
              <w:spacing w:after="40" w:before="40"/>
              <w:ind/>
              <w:jc w:val="left"/>
              <w:rPr/>
            </w:pPr>
            <w:r>
              <w:rPr>
                <w:rFonts w:ascii="Calibri" w:hAnsi="Calibri"/>
                <w:b w:val="0"/>
                <w:color w:val="333333"/>
                <w:sz w:val="17"/>
              </w:rPr>
              <w:t xml:space="preserve">Automated Incident Creation</w:t>
            </w:r>
            <w:r/>
          </w:p>
        </w:tc>
        <w:tc>
          <w:tcPr>
            <w:tcBorders/>
            <w:tcW w:w="3402" w:type="dxa"/>
          </w:tcPr>
          <w:p>
            <w:pPr>
              <w:pBdr/>
              <w:spacing w:after="40" w:before="40"/>
              <w:ind/>
              <w:jc w:val="left"/>
              <w:rPr/>
            </w:pPr>
            <w:r>
              <w:rPr>
                <w:rFonts w:ascii="Calibri" w:hAnsi="Calibri"/>
                <w:b w:val="0"/>
                <w:color w:val="333333"/>
                <w:sz w:val="17"/>
              </w:rPr>
              <w:t xml:space="preserve">• Middleware deployed (n8n or Python)</w:t>
              <w:br/>
              <w:t xml:space="preserve">• Grafana → Middleware → ERPNext webhook flow</w:t>
              <w:br/>
              <w:t xml:space="preserve">• Alert fingerprint deduplication</w:t>
              <w:br/>
              <w:t xml:space="preserve">• Severity→Priority mapping</w:t>
              <w:br/>
              <w:t xml:space="preserve">• Auto-close on recovery</w:t>
              <w:br/>
              <w:t xml:space="preserve">• SLA policies configured in ERPNext</w:t>
            </w:r>
            <w:r/>
          </w:p>
        </w:tc>
        <w:tc>
          <w:tcPr>
            <w:tcBorders/>
            <w:tcW w:w="2551" w:type="dxa"/>
          </w:tcPr>
          <w:p>
            <w:pPr>
              <w:pBdr/>
              <w:spacing w:after="40" w:before="40"/>
              <w:ind/>
              <w:jc w:val="left"/>
              <w:rPr/>
            </w:pPr>
            <w:r>
              <w:rPr>
                <w:rFonts w:ascii="Calibri" w:hAnsi="Calibri"/>
                <w:b w:val="0"/>
                <w:color w:val="333333"/>
                <w:sz w:val="17"/>
              </w:rPr>
              <w:t xml:space="preserve">AC-002: Monitoring event creates correctly prioritised incident without unwanted duplicates</w:t>
            </w:r>
            <w:r/>
          </w:p>
        </w:tc>
      </w:tr>
      <w:tr>
        <w:trPr/>
        <w:tc>
          <w:tcPr>
            <w:tcBorders/>
            <w:tcW w:w="1417" w:type="dxa"/>
          </w:tcPr>
          <w:p>
            <w:pPr>
              <w:pBdr/>
              <w:spacing w:after="40" w:before="40"/>
              <w:ind/>
              <w:jc w:val="left"/>
              <w:rPr/>
            </w:pPr>
            <w:r>
              <w:rPr>
                <w:b/>
              </w:rPr>
            </w:r>
            <w:r>
              <w:rPr>
                <w:rFonts w:ascii="Calibri" w:hAnsi="Calibri"/>
                <w:b/>
                <w:color w:val="333333"/>
                <w:sz w:val="17"/>
              </w:rPr>
              <w:t xml:space="preserve">Phase 2</w:t>
              <w:br/>
              <w:t xml:space="preserve">Unified Change Management</w:t>
            </w:r>
            <w:r/>
          </w:p>
        </w:tc>
        <w:tc>
          <w:tcPr>
            <w:tcBorders/>
            <w:tcW w:w="1134" w:type="dxa"/>
          </w:tcPr>
          <w:p>
            <w:pPr>
              <w:pBdr/>
              <w:spacing w:after="40" w:before="40"/>
              <w:ind/>
              <w:jc w:val="left"/>
              <w:rPr/>
            </w:pPr>
            <w:r>
              <w:rPr>
                <w:rFonts w:ascii="Calibri" w:hAnsi="Calibri"/>
                <w:b w:val="0"/>
                <w:color w:val="333333"/>
                <w:sz w:val="17"/>
              </w:rPr>
              <w:t xml:space="preserve">Weeks 3–4</w:t>
            </w:r>
            <w:r/>
          </w:p>
        </w:tc>
        <w:tc>
          <w:tcPr>
            <w:tcBorders/>
            <w:tcW w:w="1701" w:type="dxa"/>
          </w:tcPr>
          <w:p>
            <w:pPr>
              <w:pBdr/>
              <w:spacing w:after="40" w:before="40"/>
              <w:ind/>
              <w:jc w:val="left"/>
              <w:rPr/>
            </w:pPr>
            <w:r>
              <w:rPr>
                <w:rFonts w:ascii="Calibri" w:hAnsi="Calibri"/>
                <w:b w:val="0"/>
                <w:color w:val="333333"/>
                <w:sz w:val="17"/>
              </w:rPr>
              <w:t xml:space="preserve">Single Change Process for All Changes</w:t>
            </w:r>
            <w:r/>
          </w:p>
        </w:tc>
        <w:tc>
          <w:tcPr>
            <w:tcBorders/>
            <w:tcW w:w="3402" w:type="dxa"/>
          </w:tcPr>
          <w:p>
            <w:pPr>
              <w:pBdr/>
              <w:spacing w:after="40" w:before="40"/>
              <w:ind/>
              <w:jc w:val="left"/>
              <w:rPr/>
            </w:pPr>
            <w:r>
              <w:rPr>
                <w:rFonts w:ascii="Calibri" w:hAnsi="Calibri"/>
                <w:b w:val="0"/>
                <w:color w:val="333333"/>
                <w:sz w:val="17"/>
              </w:rPr>
              <w:t xml:space="preserve">• ERPNext Change Request Custom DocType deployed</w:t>
              <w:br/>
              <w:t xml:space="preserve">• Workflow + approval chains configured</w:t>
              <w:br/>
              <w:t xml:space="preserve">• Risk assessment matrix implemented</w:t>
              <w:br/>
              <w:t xml:space="preserve">• Git PR ↔ Change Request linkage</w:t>
              <w:br/>
              <w:t xml:space="preserve">• Non-code change templates added</w:t>
            </w:r>
            <w:r/>
          </w:p>
        </w:tc>
        <w:tc>
          <w:tcPr>
            <w:tcBorders/>
            <w:tcW w:w="2551" w:type="dxa"/>
          </w:tcPr>
          <w:p>
            <w:pPr>
              <w:pBdr/>
              <w:spacing w:after="40" w:before="40"/>
              <w:ind/>
              <w:jc w:val="left"/>
              <w:rPr/>
            </w:pPr>
            <w:r>
              <w:rPr>
                <w:rFonts w:ascii="Calibri" w:hAnsi="Calibri"/>
                <w:b w:val="0"/>
                <w:color w:val="333333"/>
                <w:sz w:val="17"/>
              </w:rPr>
              <w:t xml:space="preserve">AC-004: Normal change cannot proceed before required approvals</w:t>
              <w:br/>
              <w:t xml:space="preserve">AC-005: Emergency change records authorization &amp; requires retrospective review</w:t>
            </w:r>
            <w:r/>
          </w:p>
        </w:tc>
      </w:tr>
      <w:tr>
        <w:trPr/>
        <w:tc>
          <w:tcPr>
            <w:tcBorders/>
            <w:tcW w:w="1417" w:type="dxa"/>
          </w:tcPr>
          <w:p>
            <w:pPr>
              <w:pBdr/>
              <w:spacing w:after="40" w:before="40"/>
              <w:ind/>
              <w:jc w:val="left"/>
              <w:rPr/>
            </w:pPr>
            <w:r>
              <w:rPr>
                <w:b/>
              </w:rPr>
            </w:r>
            <w:r>
              <w:rPr>
                <w:rFonts w:ascii="Calibri" w:hAnsi="Calibri"/>
                <w:b/>
                <w:color w:val="333333"/>
                <w:sz w:val="17"/>
              </w:rPr>
              <w:t xml:space="preserve">Phase 3</w:t>
              <w:br/>
              <w:t xml:space="preserve">On-Call &amp; Topology</w:t>
            </w:r>
            <w:r/>
          </w:p>
        </w:tc>
        <w:tc>
          <w:tcPr>
            <w:tcBorders/>
            <w:tcW w:w="1134" w:type="dxa"/>
          </w:tcPr>
          <w:p>
            <w:pPr>
              <w:pBdr/>
              <w:spacing w:after="40" w:before="40"/>
              <w:ind/>
              <w:jc w:val="left"/>
              <w:rPr/>
            </w:pPr>
            <w:r>
              <w:rPr>
                <w:rFonts w:ascii="Calibri" w:hAnsi="Calibri"/>
                <w:b w:val="0"/>
                <w:color w:val="333333"/>
                <w:sz w:val="17"/>
              </w:rPr>
              <w:t xml:space="preserve">Weeks 5–6</w:t>
            </w:r>
            <w:r/>
          </w:p>
        </w:tc>
        <w:tc>
          <w:tcPr>
            <w:tcBorders/>
            <w:tcW w:w="1701" w:type="dxa"/>
          </w:tcPr>
          <w:p>
            <w:pPr>
              <w:pBdr/>
              <w:spacing w:after="40" w:before="40"/>
              <w:ind/>
              <w:jc w:val="left"/>
              <w:rPr/>
            </w:pPr>
            <w:r>
              <w:rPr>
                <w:rFonts w:ascii="Calibri" w:hAnsi="Calibri"/>
                <w:b w:val="0"/>
                <w:color w:val="333333"/>
                <w:sz w:val="17"/>
              </w:rPr>
              <w:t xml:space="preserve">Operational Readiness &amp; Service View</w:t>
            </w:r>
            <w:r/>
          </w:p>
        </w:tc>
        <w:tc>
          <w:tcPr>
            <w:tcBorders/>
            <w:tcW w:w="3402" w:type="dxa"/>
          </w:tcPr>
          <w:p>
            <w:pPr>
              <w:pBdr/>
              <w:spacing w:after="40" w:before="40"/>
              <w:ind/>
              <w:jc w:val="left"/>
              <w:rPr/>
            </w:pPr>
            <w:r>
              <w:rPr>
                <w:rFonts w:ascii="Calibri" w:hAnsi="Calibri"/>
                <w:b w:val="0"/>
                <w:color w:val="333333"/>
                <w:sz w:val="17"/>
              </w:rPr>
              <w:t xml:space="preserve">• On-call rotation schedule integrated with middleware escalation</w:t>
              <w:br/>
              <w:t xml:space="preserve">• Grafana Service Graphs enabled (OpenTelemetry)</w:t>
              <w:br/>
              <w:t xml:space="preserve">• Initial Mermaid diagrams committed to Git</w:t>
              <w:br/>
              <w:t xml:space="preserve">• Major incident flag &amp; coordinated response workflow</w:t>
            </w:r>
            <w:r/>
          </w:p>
        </w:tc>
        <w:tc>
          <w:tcPr>
            <w:tcBorders/>
            <w:tcW w:w="2551" w:type="dxa"/>
          </w:tcPr>
          <w:p>
            <w:pPr>
              <w:pBdr/>
              <w:spacing w:after="40" w:before="40"/>
              <w:ind/>
              <w:jc w:val="left"/>
              <w:rPr/>
            </w:pPr>
            <w:r>
              <w:rPr>
                <w:rFonts w:ascii="Calibri" w:hAnsi="Calibri"/>
                <w:b w:val="0"/>
                <w:color w:val="333333"/>
                <w:sz w:val="17"/>
              </w:rPr>
              <w:t xml:space="preserve">AC-003: Escalation &amp; notification for overdue incidents</w:t>
              <w:br/>
              <w:t xml:space="preserve">AC-007: Ticket linked to service/CI; relationship visible &amp; traceable</w:t>
            </w:r>
            <w:r/>
          </w:p>
        </w:tc>
      </w:tr>
      <w:tr>
        <w:trPr/>
        <w:tc>
          <w:tcPr>
            <w:tcBorders/>
            <w:tcW w:w="1417" w:type="dxa"/>
          </w:tcPr>
          <w:p>
            <w:pPr>
              <w:pBdr/>
              <w:spacing w:after="40" w:before="40"/>
              <w:ind/>
              <w:jc w:val="left"/>
              <w:rPr/>
            </w:pPr>
            <w:r>
              <w:rPr>
                <w:b/>
              </w:rPr>
            </w:r>
            <w:r>
              <w:rPr>
                <w:rFonts w:ascii="Calibri" w:hAnsi="Calibri"/>
                <w:b/>
                <w:color w:val="333333"/>
                <w:sz w:val="17"/>
              </w:rPr>
              <w:t xml:space="preserve">Phase 4</w:t>
              <w:br/>
              <w:t xml:space="preserve">Advanced Modules</w:t>
            </w:r>
            <w:r/>
          </w:p>
        </w:tc>
        <w:tc>
          <w:tcPr>
            <w:tcBorders/>
            <w:tcW w:w="1134" w:type="dxa"/>
          </w:tcPr>
          <w:p>
            <w:pPr>
              <w:pBdr/>
              <w:spacing w:after="40" w:before="40"/>
              <w:ind/>
              <w:jc w:val="left"/>
              <w:rPr/>
            </w:pPr>
            <w:r>
              <w:rPr>
                <w:rFonts w:ascii="Calibri" w:hAnsi="Calibri"/>
                <w:b w:val="0"/>
                <w:color w:val="333333"/>
                <w:sz w:val="17"/>
              </w:rPr>
              <w:t xml:space="preserve">Future (Trigger-Based)</w:t>
            </w:r>
            <w:r/>
          </w:p>
        </w:tc>
        <w:tc>
          <w:tcPr>
            <w:tcBorders/>
            <w:tcW w:w="1701" w:type="dxa"/>
          </w:tcPr>
          <w:p>
            <w:pPr>
              <w:pBdr/>
              <w:spacing w:after="40" w:before="40"/>
              <w:ind/>
              <w:jc w:val="left"/>
              <w:rPr/>
            </w:pPr>
            <w:r>
              <w:rPr>
                <w:rFonts w:ascii="Calibri" w:hAnsi="Calibri"/>
                <w:b w:val="0"/>
                <w:color w:val="333333"/>
                <w:sz w:val="17"/>
              </w:rPr>
              <w:t xml:space="preserve">Maturity Expansion</w:t>
            </w:r>
            <w:r/>
          </w:p>
        </w:tc>
        <w:tc>
          <w:tcPr>
            <w:tcBorders/>
            <w:tcW w:w="3402" w:type="dxa"/>
          </w:tcPr>
          <w:p>
            <w:pPr>
              <w:pBdr/>
              <w:spacing w:after="40" w:before="40"/>
              <w:ind/>
              <w:jc w:val="left"/>
              <w:rPr/>
            </w:pPr>
            <w:r>
              <w:rPr>
                <w:rFonts w:ascii="Calibri" w:hAnsi="Calibri"/>
                <w:b w:val="0"/>
                <w:color w:val="333333"/>
                <w:sz w:val="17"/>
              </w:rPr>
              <w:t xml:space="preserve">• Lightweight asset inventory (NetBox/Snipe-IT) if trigger met</w:t>
              <w:br/>
              <w:t xml:space="preserve">• Dedicated on-call routing if team structure trigger met</w:t>
              <w:br/>
              <w:t xml:space="preserve">• Problem Management &amp; Service Catalog if volume warrants</w:t>
              <w:br/>
              <w:t xml:space="preserve">• GRC integration if compliance scope expands</w:t>
            </w:r>
            <w:r/>
          </w:p>
        </w:tc>
        <w:tc>
          <w:tcPr>
            <w:tcBorders/>
            <w:tcW w:w="2551" w:type="dxa"/>
          </w:tcPr>
          <w:p>
            <w:pPr>
              <w:pBdr/>
              <w:spacing w:after="40" w:before="40"/>
              <w:ind/>
              <w:jc w:val="left"/>
              <w:rPr/>
            </w:pPr>
            <w:r>
              <w:rPr>
                <w:rFonts w:ascii="Calibri" w:hAnsi="Calibri"/>
                <w:b w:val="0"/>
                <w:color w:val="333333"/>
                <w:sz w:val="17"/>
              </w:rPr>
              <w:t xml:space="preserve">AC-008–AC-012: Integration resilience, backup/restore, audit exports, access controls validated</w:t>
            </w:r>
            <w:r/>
          </w:p>
        </w:tc>
      </w:tr>
    </w:tbl>
    <w:p>
      <w:pPr>
        <w:pBdr/>
        <w:spacing/>
        <w:ind/>
        <w:rPr/>
      </w:pPr>
      <w:r>
        <w:rPr>
          <w:rFonts w:ascii="Calibri" w:hAnsi="Calibri"/>
          <w:b/>
          <w:color w:val="333333"/>
          <w:sz w:val="22"/>
        </w:rPr>
        <w:t xml:space="preserve">Phase Gate Principle: </w:t>
      </w:r>
      <w:r>
        <w:rPr>
          <w:rFonts w:ascii="Calibri" w:hAnsi="Calibri"/>
          <w:b w:val="0"/>
          <w:color w:val="333333"/>
          <w:sz w:val="22"/>
        </w:rPr>
        <w:t xml:space="preserve">Each phase completes with a documented acceptance test run. Phase N+1 begins only after Phase N acceptance criteria are met and the team has operated the new capability for at least one sprint.</w:t>
      </w:r>
      <w:r/>
    </w:p>
    <w:p>
      <w:pPr>
        <w:pBdr>
          <w:bottom w:val="single" w:color="1a3c6e" w:sz="6" w:space="1"/>
        </w:pBdr>
        <w:spacing w:after="40" w:before="40"/>
        <w:ind/>
        <w:rPr/>
      </w:pPr>
      <w:r/>
      <w:r/>
    </w:p>
    <w:p>
      <w:pPr>
        <w:pStyle w:val="693"/>
        <w:pBdr/>
        <w:spacing/>
        <w:ind/>
        <w:rPr/>
      </w:pPr>
      <w:r>
        <w:t xml:space="preserve">7. Future Scaling</w:t>
      </w:r>
      <w:r/>
    </w:p>
    <w:p>
      <w:pPr>
        <w:pBdr/>
        <w:spacing/>
        <w:ind/>
        <w:rPr/>
      </w:pPr>
      <w:r>
        <w:rPr>
          <w:rFonts w:ascii="Calibri" w:hAnsi="Calibri"/>
          <w:b w:val="0"/>
          <w:color w:val="333333"/>
          <w:sz w:val="22"/>
        </w:rPr>
        <w:t xml:space="preserve">The architecture is designed for measured, trigger-based evolution — not speculative overbuilding.</w:t>
      </w:r>
      <w:r/>
    </w:p>
    <w:tbl>
      <w:tblPr>
        <w:tblStyle w:val="753"/>
        <w:jc w:val="center"/>
        <w:tblW w:w="0" w:type="auto"/>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3120"/>
        <w:gridCol w:w="3120"/>
        <w:gridCol w:w="3120"/>
      </w:tblGrid>
      <w:tr>
        <w:trPr/>
        <w:tc>
          <w:tcPr>
            <w:shd w:val="clear" w:color="auto" w:fill="2e75b6"/>
            <w:tcBorders/>
            <w:tcW w:w="1984" w:type="dxa"/>
          </w:tcPr>
          <w:p>
            <w:pPr>
              <w:pBdr/>
              <w:spacing w:after="40" w:before="40"/>
              <w:ind/>
              <w:jc w:val="left"/>
              <w:rPr/>
            </w:pPr>
            <w:r>
              <w:rPr>
                <w:rFonts w:ascii="Calibri" w:hAnsi="Calibri"/>
                <w:b/>
                <w:color w:val="ffffff"/>
                <w:sz w:val="20"/>
              </w:rPr>
              <w:t xml:space="preserve">Capability</w:t>
            </w:r>
            <w:r/>
          </w:p>
        </w:tc>
        <w:tc>
          <w:tcPr>
            <w:shd w:val="clear" w:color="auto" w:fill="2e75b6"/>
            <w:tcBorders/>
            <w:tcW w:w="3402" w:type="dxa"/>
          </w:tcPr>
          <w:p>
            <w:pPr>
              <w:pBdr/>
              <w:spacing w:after="40" w:before="40"/>
              <w:ind/>
              <w:jc w:val="left"/>
              <w:rPr/>
            </w:pPr>
            <w:r>
              <w:rPr>
                <w:rFonts w:ascii="Calibri" w:hAnsi="Calibri"/>
                <w:b/>
                <w:color w:val="ffffff"/>
                <w:sz w:val="20"/>
              </w:rPr>
              <w:t xml:space="preserve">Scaling Trigger</w:t>
            </w:r>
            <w:r/>
          </w:p>
        </w:tc>
        <w:tc>
          <w:tcPr>
            <w:shd w:val="clear" w:color="auto" w:fill="2e75b6"/>
            <w:tcBorders/>
            <w:tcW w:w="4252" w:type="dxa"/>
          </w:tcPr>
          <w:p>
            <w:pPr>
              <w:pBdr/>
              <w:spacing w:after="40" w:before="40"/>
              <w:ind/>
              <w:jc w:val="left"/>
              <w:rPr/>
            </w:pPr>
            <w:r>
              <w:rPr>
                <w:rFonts w:ascii="Calibri" w:hAnsi="Calibri"/>
                <w:b/>
                <w:color w:val="ffffff"/>
                <w:sz w:val="20"/>
              </w:rPr>
              <w:t xml:space="preserve">Evolution Path</w:t>
            </w:r>
            <w:r/>
          </w:p>
        </w:tc>
      </w:tr>
      <w:tr>
        <w:trPr/>
        <w:tc>
          <w:tcPr>
            <w:tcBorders/>
            <w:tcW w:w="1984" w:type="dxa"/>
          </w:tcPr>
          <w:p>
            <w:pPr>
              <w:pBdr/>
              <w:spacing w:after="40" w:before="40"/>
              <w:ind/>
              <w:jc w:val="left"/>
              <w:rPr/>
            </w:pPr>
            <w:r>
              <w:rPr>
                <w:b/>
              </w:rPr>
            </w:r>
            <w:r>
              <w:rPr>
                <w:rFonts w:ascii="Calibri" w:hAnsi="Calibri"/>
                <w:b/>
                <w:color w:val="333333"/>
                <w:sz w:val="19"/>
              </w:rPr>
              <w:t xml:space="preserve">On-Call Routing</w:t>
            </w:r>
            <w:r/>
          </w:p>
        </w:tc>
        <w:tc>
          <w:tcPr>
            <w:tcBorders/>
            <w:tcW w:w="3402" w:type="dxa"/>
          </w:tcPr>
          <w:p>
            <w:pPr>
              <w:pBdr/>
              <w:spacing w:after="40" w:before="40"/>
              <w:ind/>
              <w:jc w:val="left"/>
              <w:rPr/>
            </w:pPr>
            <w:r>
              <w:rPr>
                <w:rFonts w:ascii="Calibri" w:hAnsi="Calibri"/>
                <w:b w:val="0"/>
                <w:color w:val="333333"/>
                <w:sz w:val="19"/>
              </w:rPr>
              <w:t xml:space="preserve">Team splits into 2+ specialised support groups; rotation exceeds primary + backup</w:t>
            </w:r>
            <w:r/>
          </w:p>
        </w:tc>
        <w:tc>
          <w:tcPr>
            <w:tcBorders/>
            <w:tcW w:w="4252" w:type="dxa"/>
          </w:tcPr>
          <w:p>
            <w:pPr>
              <w:pBdr/>
              <w:spacing w:after="40" w:before="40"/>
              <w:ind/>
              <w:jc w:val="left"/>
              <w:rPr/>
            </w:pPr>
            <w:r>
              <w:rPr>
                <w:rFonts w:ascii="Calibri" w:hAnsi="Calibri"/>
                <w:b w:val="0"/>
                <w:color w:val="333333"/>
                <w:sz w:val="19"/>
              </w:rPr>
              <w:t xml:space="preserve">Introduce dedicated incident routing (PagerDuty, Opsgenie, Grafana Cloud On-Call) with native schedules, overrides, and escalation chains. Middleware adapts to new webhook target.</w:t>
            </w:r>
            <w:r/>
          </w:p>
        </w:tc>
      </w:tr>
      <w:tr>
        <w:trPr/>
        <w:tc>
          <w:tcPr>
            <w:tcBorders/>
            <w:tcW w:w="1984" w:type="dxa"/>
          </w:tcPr>
          <w:p>
            <w:pPr>
              <w:pBdr/>
              <w:spacing w:after="40" w:before="40"/>
              <w:ind/>
              <w:jc w:val="left"/>
              <w:rPr/>
            </w:pPr>
            <w:r>
              <w:rPr>
                <w:b/>
              </w:rPr>
            </w:r>
            <w:r>
              <w:rPr>
                <w:rFonts w:ascii="Calibri" w:hAnsi="Calibri"/>
                <w:b/>
                <w:color w:val="333333"/>
                <w:sz w:val="19"/>
              </w:rPr>
              <w:t xml:space="preserve">Change Management Scope</w:t>
            </w:r>
            <w:r/>
          </w:p>
        </w:tc>
        <w:tc>
          <w:tcPr>
            <w:tcBorders/>
            <w:tcW w:w="3402" w:type="dxa"/>
          </w:tcPr>
          <w:p>
            <w:pPr>
              <w:pBdr/>
              <w:spacing w:after="40" w:before="40"/>
              <w:ind/>
              <w:jc w:val="left"/>
              <w:rPr/>
            </w:pPr>
            <w:r>
              <w:rPr>
                <w:rFonts w:ascii="Calibri" w:hAnsi="Calibri"/>
                <w:b w:val="0"/>
                <w:color w:val="333333"/>
                <w:sz w:val="19"/>
              </w:rPr>
              <w:t xml:space="preserve">Non-code changes exceed ~20% of total change volume; regulatory requirements demand stricter segregation</w:t>
            </w:r>
            <w:r/>
          </w:p>
        </w:tc>
        <w:tc>
          <w:tcPr>
            <w:tcBorders/>
            <w:tcW w:w="4252" w:type="dxa"/>
          </w:tcPr>
          <w:p>
            <w:pPr>
              <w:pBdr/>
              <w:spacing w:after="40" w:before="40"/>
              <w:ind/>
              <w:jc w:val="left"/>
              <w:rPr/>
            </w:pPr>
            <w:r>
              <w:rPr>
                <w:rFonts w:ascii="Calibri" w:hAnsi="Calibri"/>
                <w:b w:val="0"/>
                <w:color w:val="333333"/>
                <w:sz w:val="19"/>
              </w:rPr>
              <w:t xml:space="preserve">Extend ERPNext Change Request with additional states/fields, or introduce a lightweight ITSM change module for infrastructure/business changes while retaining ERPNext as the audit ledger.</w:t>
            </w:r>
            <w:r/>
          </w:p>
        </w:tc>
      </w:tr>
      <w:tr>
        <w:trPr/>
        <w:tc>
          <w:tcPr>
            <w:tcBorders/>
            <w:tcW w:w="1984" w:type="dxa"/>
          </w:tcPr>
          <w:p>
            <w:pPr>
              <w:pBdr/>
              <w:spacing w:after="40" w:before="40"/>
              <w:ind/>
              <w:jc w:val="left"/>
              <w:rPr/>
            </w:pPr>
            <w:r>
              <w:rPr>
                <w:b/>
              </w:rPr>
            </w:r>
            <w:r>
              <w:rPr>
                <w:rFonts w:ascii="Calibri" w:hAnsi="Calibri"/>
                <w:b/>
                <w:color w:val="333333"/>
                <w:sz w:val="19"/>
              </w:rPr>
              <w:t xml:space="preserve">Middleware / Alert Volume</w:t>
            </w:r>
            <w:r/>
          </w:p>
        </w:tc>
        <w:tc>
          <w:tcPr>
            <w:tcBorders/>
            <w:tcW w:w="3402" w:type="dxa"/>
          </w:tcPr>
          <w:p>
            <w:pPr>
              <w:pBdr/>
              <w:spacing w:after="40" w:before="40"/>
              <w:ind/>
              <w:jc w:val="left"/>
              <w:rPr/>
            </w:pPr>
            <w:r>
              <w:rPr>
                <w:rFonts w:ascii="Calibri" w:hAnsi="Calibri"/>
                <w:b w:val="0"/>
                <w:color w:val="333333"/>
                <w:sz w:val="19"/>
              </w:rPr>
              <w:t xml:space="preserve">Sustained throughput exceeds comfortable processing capacity; suppression logic becomes complex</w:t>
            </w:r>
            <w:r/>
          </w:p>
        </w:tc>
        <w:tc>
          <w:tcPr>
            <w:tcBorders/>
            <w:tcW w:w="4252" w:type="dxa"/>
          </w:tcPr>
          <w:p>
            <w:pPr>
              <w:pBdr/>
              <w:spacing w:after="40" w:before="40"/>
              <w:ind/>
              <w:jc w:val="left"/>
              <w:rPr/>
            </w:pPr>
            <w:r>
              <w:rPr>
                <w:rFonts w:ascii="Calibri" w:hAnsi="Calibri"/>
                <w:b w:val="0"/>
                <w:color w:val="333333"/>
                <w:sz w:val="19"/>
              </w:rPr>
              <w:t xml:space="preserve">Migrate to managed integration platform (e.g., n8n Cloud, Temporal, or enterprise alert correlation) with guaranteed delivery and advanced routing.</w:t>
            </w:r>
            <w:r/>
          </w:p>
        </w:tc>
      </w:tr>
      <w:tr>
        <w:trPr/>
        <w:tc>
          <w:tcPr>
            <w:tcBorders/>
            <w:tcW w:w="1984" w:type="dxa"/>
          </w:tcPr>
          <w:p>
            <w:pPr>
              <w:pBdr/>
              <w:spacing w:after="40" w:before="40"/>
              <w:ind/>
              <w:jc w:val="left"/>
              <w:rPr/>
            </w:pPr>
            <w:r>
              <w:rPr>
                <w:b/>
              </w:rPr>
            </w:r>
            <w:r>
              <w:rPr>
                <w:rFonts w:ascii="Calibri" w:hAnsi="Calibri"/>
                <w:b/>
                <w:color w:val="333333"/>
                <w:sz w:val="19"/>
              </w:rPr>
              <w:t xml:space="preserve">Asset Visibility / CMDB</w:t>
            </w:r>
            <w:r/>
          </w:p>
        </w:tc>
        <w:tc>
          <w:tcPr>
            <w:tcBorders/>
            <w:tcW w:w="3402" w:type="dxa"/>
          </w:tcPr>
          <w:p>
            <w:pPr>
              <w:pBdr/>
              <w:spacing w:after="40" w:before="40"/>
              <w:ind/>
              <w:jc w:val="left"/>
              <w:rPr/>
            </w:pPr>
            <w:r>
              <w:rPr>
                <w:rFonts w:ascii="Calibri" w:hAnsi="Calibri"/>
                <w:b w:val="0"/>
                <w:color w:val="333333"/>
                <w:sz w:val="19"/>
              </w:rPr>
              <w:t xml:space="preserve">Team grows beyond institutional knowledge of dependencies; new engineers cannot identify affected services from memory</w:t>
            </w:r>
            <w:r/>
          </w:p>
        </w:tc>
        <w:tc>
          <w:tcPr>
            <w:tcBorders/>
            <w:tcW w:w="4252" w:type="dxa"/>
          </w:tcPr>
          <w:p>
            <w:pPr>
              <w:pBdr/>
              <w:spacing w:after="40" w:before="40"/>
              <w:ind/>
              <w:jc w:val="left"/>
              <w:rPr/>
            </w:pPr>
            <w:r>
              <w:rPr>
                <w:rFonts w:ascii="Calibri" w:hAnsi="Calibri"/>
                <w:b w:val="0"/>
                <w:color w:val="333333"/>
                <w:sz w:val="19"/>
              </w:rPr>
              <w:t xml:space="preserve">Introduce lightweight CMDB/asset inventory (NetBox, Snipe-IT) linked to ERPNext tickets via configuration item fields. Service Graphs remain the live dependency source.</w:t>
            </w:r>
            <w:r/>
          </w:p>
        </w:tc>
      </w:tr>
      <w:tr>
        <w:trPr/>
        <w:tc>
          <w:tcPr>
            <w:tcBorders/>
            <w:tcW w:w="1984" w:type="dxa"/>
          </w:tcPr>
          <w:p>
            <w:pPr>
              <w:pBdr/>
              <w:spacing w:after="40" w:before="40"/>
              <w:ind/>
              <w:jc w:val="left"/>
              <w:rPr/>
            </w:pPr>
            <w:r>
              <w:rPr>
                <w:b/>
              </w:rPr>
            </w:r>
            <w:r>
              <w:rPr>
                <w:rFonts w:ascii="Calibri" w:hAnsi="Calibri"/>
                <w:b/>
                <w:color w:val="333333"/>
                <w:sz w:val="19"/>
              </w:rPr>
              <w:t xml:space="preserve">ITSM Platform Migration</w:t>
            </w:r>
            <w:r/>
          </w:p>
        </w:tc>
        <w:tc>
          <w:tcPr>
            <w:tcBorders/>
            <w:tcW w:w="3402" w:type="dxa"/>
          </w:tcPr>
          <w:p>
            <w:pPr>
              <w:pBdr/>
              <w:spacing w:after="40" w:before="40"/>
              <w:ind/>
              <w:jc w:val="left"/>
              <w:rPr/>
            </w:pPr>
            <w:r>
              <w:rPr>
                <w:rFonts w:ascii="Calibri" w:hAnsi="Calibri"/>
                <w:b w:val="0"/>
                <w:color w:val="333333"/>
                <w:sz w:val="19"/>
              </w:rPr>
              <w:t xml:space="preserve">Regulatory scope, team size, or compliance requirements expand significantly</w:t>
            </w:r>
            <w:r/>
          </w:p>
        </w:tc>
        <w:tc>
          <w:tcPr>
            <w:tcBorders/>
            <w:tcW w:w="4252" w:type="dxa"/>
          </w:tcPr>
          <w:p>
            <w:pPr>
              <w:pBdr/>
              <w:spacing w:after="40" w:before="40"/>
              <w:ind/>
              <w:jc w:val="left"/>
              <w:rPr/>
            </w:pPr>
            <w:r>
              <w:rPr>
                <w:rFonts w:ascii="Calibri" w:hAnsi="Calibri"/>
                <w:b w:val="0"/>
                <w:color w:val="333333"/>
                <w:sz w:val="19"/>
              </w:rPr>
              <w:t xml:space="preserve">Evaluate migrating ticketing, change, and CMDB to a dedicated platform (Jira Service Management, Freshservice). ERPNext remains the core business system for Accounting, HR, and Procurement. Middleware re-targets API calls.</w:t>
            </w:r>
            <w:r/>
          </w:p>
        </w:tc>
      </w:tr>
    </w:tbl>
    <w:p>
      <w:pPr>
        <w:pBdr/>
        <w:spacing/>
        <w:ind/>
        <w:rPr/>
      </w:pPr>
      <w:r>
        <w:rPr>
          <w:rFonts w:ascii="Calibri" w:hAnsi="Calibri"/>
          <w:b/>
          <w:color w:val="333333"/>
          <w:sz w:val="22"/>
        </w:rPr>
        <w:t xml:space="preserve">Investment Preservation: </w:t>
      </w:r>
      <w:r>
        <w:rPr>
          <w:rFonts w:ascii="Calibri" w:hAnsi="Calibri"/>
          <w:b w:val="0"/>
          <w:color w:val="333333"/>
          <w:sz w:val="22"/>
        </w:rPr>
        <w:t xml:space="preserve">At every stage, ERPNext and Grafana remain in the stack. The middleware layer is the only component designed for replacement. Data models (ticket schema, change request fields, service labels) are portable by design.</w:t>
      </w:r>
      <w:r/>
    </w:p>
    <w:p>
      <w:pPr>
        <w:pBdr>
          <w:bottom w:val="single" w:color="1a3c6e" w:sz="6" w:space="1"/>
        </w:pBdr>
        <w:spacing w:after="40" w:before="40"/>
        <w:ind/>
        <w:rPr/>
      </w:pPr>
      <w:r/>
      <w:r/>
    </w:p>
    <w:p>
      <w:pPr>
        <w:pStyle w:val="693"/>
        <w:pBdr/>
        <w:spacing/>
        <w:ind/>
        <w:rPr/>
      </w:pPr>
      <w:r>
        <w:t xml:space="preserve">8. Governance &amp; Ownership</w:t>
      </w:r>
      <w:r/>
    </w:p>
    <w:tbl>
      <w:tblPr>
        <w:tblStyle w:val="753"/>
        <w:jc w:val="center"/>
        <w:tblW w:w="0" w:type="auto"/>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3120"/>
        <w:gridCol w:w="3120"/>
        <w:gridCol w:w="3120"/>
      </w:tblGrid>
      <w:tr>
        <w:trPr/>
        <w:tc>
          <w:tcPr>
            <w:shd w:val="clear" w:color="auto" w:fill="2e75b6"/>
            <w:tcBorders/>
            <w:tcW w:w="2268" w:type="dxa"/>
          </w:tcPr>
          <w:p>
            <w:pPr>
              <w:pBdr/>
              <w:spacing w:after="40" w:before="40"/>
              <w:ind/>
              <w:jc w:val="left"/>
              <w:rPr/>
            </w:pPr>
            <w:r>
              <w:rPr>
                <w:rFonts w:ascii="Calibri" w:hAnsi="Calibri"/>
                <w:b/>
                <w:color w:val="ffffff"/>
                <w:sz w:val="20"/>
              </w:rPr>
              <w:t xml:space="preserve">Domain</w:t>
            </w:r>
            <w:r/>
          </w:p>
        </w:tc>
        <w:tc>
          <w:tcPr>
            <w:shd w:val="clear" w:color="auto" w:fill="2e75b6"/>
            <w:tcBorders/>
            <w:tcW w:w="1701" w:type="dxa"/>
          </w:tcPr>
          <w:p>
            <w:pPr>
              <w:pBdr/>
              <w:spacing w:after="40" w:before="40"/>
              <w:ind/>
              <w:jc w:val="left"/>
              <w:rPr/>
            </w:pPr>
            <w:r>
              <w:rPr>
                <w:rFonts w:ascii="Calibri" w:hAnsi="Calibri"/>
                <w:b/>
                <w:color w:val="ffffff"/>
                <w:sz w:val="20"/>
              </w:rPr>
              <w:t xml:space="preserve">Owner</w:t>
            </w:r>
            <w:r/>
          </w:p>
        </w:tc>
        <w:tc>
          <w:tcPr>
            <w:shd w:val="clear" w:color="auto" w:fill="2e75b6"/>
            <w:tcBorders/>
            <w:tcW w:w="5669" w:type="dxa"/>
          </w:tcPr>
          <w:p>
            <w:pPr>
              <w:pBdr/>
              <w:spacing w:after="40" w:before="40"/>
              <w:ind/>
              <w:jc w:val="left"/>
              <w:rPr/>
            </w:pPr>
            <w:r>
              <w:rPr>
                <w:rFonts w:ascii="Calibri" w:hAnsi="Calibri"/>
                <w:b/>
                <w:color w:val="ffffff"/>
                <w:sz w:val="20"/>
              </w:rPr>
              <w:t xml:space="preserve">Accountability</w:t>
            </w:r>
            <w:r/>
          </w:p>
        </w:tc>
      </w:tr>
      <w:tr>
        <w:trPr/>
        <w:tc>
          <w:tcPr>
            <w:tcBorders/>
            <w:tcW w:w="2268" w:type="dxa"/>
          </w:tcPr>
          <w:p>
            <w:pPr>
              <w:pBdr/>
              <w:spacing w:after="40" w:before="40"/>
              <w:ind/>
              <w:jc w:val="left"/>
              <w:rPr/>
            </w:pPr>
            <w:r>
              <w:rPr>
                <w:b/>
              </w:rPr>
            </w:r>
            <w:r>
              <w:rPr>
                <w:rFonts w:ascii="Calibri" w:hAnsi="Calibri"/>
                <w:b/>
                <w:color w:val="333333"/>
                <w:sz w:val="19"/>
              </w:rPr>
              <w:t xml:space="preserve">ERPNext Platform</w:t>
            </w:r>
            <w:r/>
          </w:p>
        </w:tc>
        <w:tc>
          <w:tcPr>
            <w:tcBorders/>
            <w:tcW w:w="1701" w:type="dxa"/>
          </w:tcPr>
          <w:p>
            <w:pPr>
              <w:pBdr/>
              <w:spacing w:after="40" w:before="40"/>
              <w:ind/>
              <w:jc w:val="left"/>
              <w:rPr/>
            </w:pPr>
            <w:r>
              <w:rPr>
                <w:rFonts w:ascii="Calibri" w:hAnsi="Calibri"/>
                <w:b w:val="0"/>
                <w:color w:val="333333"/>
                <w:sz w:val="19"/>
              </w:rPr>
              <w:t xml:space="preserve">Platform Team</w:t>
            </w:r>
            <w:r/>
          </w:p>
        </w:tc>
        <w:tc>
          <w:tcPr>
            <w:tcBorders/>
            <w:tcW w:w="5669" w:type="dxa"/>
          </w:tcPr>
          <w:p>
            <w:pPr>
              <w:pBdr/>
              <w:spacing w:after="40" w:before="40"/>
              <w:ind/>
              <w:jc w:val="left"/>
              <w:rPr/>
            </w:pPr>
            <w:r>
              <w:rPr>
                <w:rFonts w:ascii="Calibri" w:hAnsi="Calibri"/>
                <w:b w:val="0"/>
                <w:color w:val="333333"/>
                <w:sz w:val="19"/>
              </w:rPr>
              <w:t xml:space="preserve">Availability, upgrades, custom DocType maintenance, workflow changes</w:t>
            </w:r>
            <w:r/>
          </w:p>
        </w:tc>
      </w:tr>
      <w:tr>
        <w:trPr/>
        <w:tc>
          <w:tcPr>
            <w:tcBorders/>
            <w:tcW w:w="2268" w:type="dxa"/>
          </w:tcPr>
          <w:p>
            <w:pPr>
              <w:pBdr/>
              <w:spacing w:after="40" w:before="40"/>
              <w:ind/>
              <w:jc w:val="left"/>
              <w:rPr/>
            </w:pPr>
            <w:r>
              <w:rPr>
                <w:b/>
              </w:rPr>
            </w:r>
            <w:r>
              <w:rPr>
                <w:rFonts w:ascii="Calibri" w:hAnsi="Calibri"/>
                <w:b/>
                <w:color w:val="333333"/>
                <w:sz w:val="19"/>
              </w:rPr>
              <w:t xml:space="preserve">Grafana Stack</w:t>
            </w:r>
            <w:r/>
          </w:p>
        </w:tc>
        <w:tc>
          <w:tcPr>
            <w:tcBorders/>
            <w:tcW w:w="1701" w:type="dxa"/>
          </w:tcPr>
          <w:p>
            <w:pPr>
              <w:pBdr/>
              <w:spacing w:after="40" w:before="40"/>
              <w:ind/>
              <w:jc w:val="left"/>
              <w:rPr/>
            </w:pPr>
            <w:r>
              <w:rPr>
                <w:rFonts w:ascii="Calibri" w:hAnsi="Calibri"/>
                <w:b w:val="0"/>
                <w:color w:val="333333"/>
                <w:sz w:val="19"/>
              </w:rPr>
              <w:t xml:space="preserve">Observability Team</w:t>
            </w:r>
            <w:r/>
          </w:p>
        </w:tc>
        <w:tc>
          <w:tcPr>
            <w:tcBorders/>
            <w:tcW w:w="5669" w:type="dxa"/>
          </w:tcPr>
          <w:p>
            <w:pPr>
              <w:pBdr/>
              <w:spacing w:after="40" w:before="40"/>
              <w:ind/>
              <w:jc w:val="left"/>
              <w:rPr/>
            </w:pPr>
            <w:r>
              <w:rPr>
                <w:rFonts w:ascii="Calibri" w:hAnsi="Calibri"/>
                <w:b w:val="0"/>
                <w:color w:val="333333"/>
                <w:sz w:val="19"/>
              </w:rPr>
              <w:t xml:space="preserve">Data source health, alert rule quality, Service Graph accuracy, dashboard standards</w:t>
            </w:r>
            <w:r/>
          </w:p>
        </w:tc>
      </w:tr>
      <w:tr>
        <w:trPr/>
        <w:tc>
          <w:tcPr>
            <w:tcBorders/>
            <w:tcW w:w="2268" w:type="dxa"/>
          </w:tcPr>
          <w:p>
            <w:pPr>
              <w:pBdr/>
              <w:spacing w:after="40" w:before="40"/>
              <w:ind/>
              <w:jc w:val="left"/>
              <w:rPr/>
            </w:pPr>
            <w:r>
              <w:rPr>
                <w:b/>
              </w:rPr>
            </w:r>
            <w:r>
              <w:rPr>
                <w:rFonts w:ascii="Calibri" w:hAnsi="Calibri"/>
                <w:b/>
                <w:color w:val="333333"/>
                <w:sz w:val="19"/>
              </w:rPr>
              <w:t xml:space="preserve">Middleware</w:t>
            </w:r>
            <w:r/>
          </w:p>
        </w:tc>
        <w:tc>
          <w:tcPr>
            <w:tcBorders/>
            <w:tcW w:w="1701" w:type="dxa"/>
          </w:tcPr>
          <w:p>
            <w:pPr>
              <w:pBdr/>
              <w:spacing w:after="40" w:before="40"/>
              <w:ind/>
              <w:jc w:val="left"/>
              <w:rPr/>
            </w:pPr>
            <w:r>
              <w:rPr>
                <w:rFonts w:ascii="Calibri" w:hAnsi="Calibri"/>
                <w:b w:val="0"/>
                <w:color w:val="333333"/>
                <w:sz w:val="19"/>
              </w:rPr>
              <w:t xml:space="preserve">Infrastructure Team</w:t>
            </w:r>
            <w:r/>
          </w:p>
        </w:tc>
        <w:tc>
          <w:tcPr>
            <w:tcBorders/>
            <w:tcW w:w="5669" w:type="dxa"/>
          </w:tcPr>
          <w:p>
            <w:pPr>
              <w:pBdr/>
              <w:spacing w:after="40" w:before="40"/>
              <w:ind/>
              <w:jc w:val="left"/>
              <w:rPr/>
            </w:pPr>
            <w:r>
              <w:rPr>
                <w:rFonts w:ascii="Calibri" w:hAnsi="Calibri"/>
                <w:b w:val="0"/>
                <w:color w:val="333333"/>
                <w:sz w:val="19"/>
              </w:rPr>
              <w:t xml:space="preserve">Pipeline reliability, deduplication logic, API contract stability, deployment</w:t>
            </w:r>
            <w:r/>
          </w:p>
        </w:tc>
      </w:tr>
      <w:tr>
        <w:trPr/>
        <w:tc>
          <w:tcPr>
            <w:tcBorders/>
            <w:tcW w:w="2268" w:type="dxa"/>
          </w:tcPr>
          <w:p>
            <w:pPr>
              <w:pBdr/>
              <w:spacing w:after="40" w:before="40"/>
              <w:ind/>
              <w:jc w:val="left"/>
              <w:rPr/>
            </w:pPr>
            <w:r>
              <w:rPr>
                <w:b/>
              </w:rPr>
            </w:r>
            <w:r>
              <w:rPr>
                <w:rFonts w:ascii="Calibri" w:hAnsi="Calibri"/>
                <w:b/>
                <w:color w:val="333333"/>
                <w:sz w:val="19"/>
              </w:rPr>
              <w:t xml:space="preserve">Change Process</w:t>
            </w:r>
            <w:r/>
          </w:p>
        </w:tc>
        <w:tc>
          <w:tcPr>
            <w:tcBorders/>
            <w:tcW w:w="1701" w:type="dxa"/>
          </w:tcPr>
          <w:p>
            <w:pPr>
              <w:pBdr/>
              <w:spacing w:after="40" w:before="40"/>
              <w:ind/>
              <w:jc w:val="left"/>
              <w:rPr/>
            </w:pPr>
            <w:r>
              <w:rPr>
                <w:rFonts w:ascii="Calibri" w:hAnsi="Calibri"/>
                <w:b w:val="0"/>
                <w:color w:val="333333"/>
                <w:sz w:val="19"/>
              </w:rPr>
              <w:t xml:space="preserve">CTO / Change Manager</w:t>
            </w:r>
            <w:r/>
          </w:p>
        </w:tc>
        <w:tc>
          <w:tcPr>
            <w:tcBorders/>
            <w:tcW w:w="5669" w:type="dxa"/>
          </w:tcPr>
          <w:p>
            <w:pPr>
              <w:pBdr/>
              <w:spacing w:after="40" w:before="40"/>
              <w:ind/>
              <w:jc w:val="left"/>
              <w:rPr/>
            </w:pPr>
            <w:r>
              <w:rPr>
                <w:rFonts w:ascii="Calibri" w:hAnsi="Calibri"/>
                <w:b w:val="0"/>
                <w:color w:val="333333"/>
                <w:sz w:val="19"/>
              </w:rPr>
              <w:t xml:space="preserve">Approval policy, risk matrix calibration, retrospective cadence</w:t>
            </w:r>
            <w:r/>
          </w:p>
        </w:tc>
      </w:tr>
      <w:tr>
        <w:trPr/>
        <w:tc>
          <w:tcPr>
            <w:tcBorders/>
            <w:tcW w:w="2268" w:type="dxa"/>
          </w:tcPr>
          <w:p>
            <w:pPr>
              <w:pBdr/>
              <w:spacing w:after="40" w:before="40"/>
              <w:ind/>
              <w:jc w:val="left"/>
              <w:rPr/>
            </w:pPr>
            <w:r>
              <w:rPr>
                <w:b/>
              </w:rPr>
            </w:r>
            <w:r>
              <w:rPr>
                <w:rFonts w:ascii="Calibri" w:hAnsi="Calibri"/>
                <w:b/>
                <w:color w:val="333333"/>
                <w:sz w:val="19"/>
              </w:rPr>
              <w:t xml:space="preserve">Architecture Diagrams</w:t>
            </w:r>
            <w:r/>
          </w:p>
        </w:tc>
        <w:tc>
          <w:tcPr>
            <w:tcBorders/>
            <w:tcW w:w="1701" w:type="dxa"/>
          </w:tcPr>
          <w:p>
            <w:pPr>
              <w:pBdr/>
              <w:spacing w:after="40" w:before="40"/>
              <w:ind/>
              <w:jc w:val="left"/>
              <w:rPr/>
            </w:pPr>
            <w:r>
              <w:rPr>
                <w:rFonts w:ascii="Calibri" w:hAnsi="Calibri"/>
                <w:b w:val="0"/>
                <w:color w:val="333333"/>
                <w:sz w:val="19"/>
              </w:rPr>
              <w:t xml:space="preserve">Tech Leads</w:t>
            </w:r>
            <w:r/>
          </w:p>
        </w:tc>
        <w:tc>
          <w:tcPr>
            <w:tcBorders/>
            <w:tcW w:w="5669" w:type="dxa"/>
          </w:tcPr>
          <w:p>
            <w:pPr>
              <w:pBdr/>
              <w:spacing w:after="40" w:before="40"/>
              <w:ind/>
              <w:jc w:val="left"/>
              <w:rPr/>
            </w:pPr>
            <w:r>
              <w:rPr>
                <w:rFonts w:ascii="Calibri" w:hAnsi="Calibri"/>
                <w:b w:val="0"/>
                <w:color w:val="333333"/>
                <w:sz w:val="19"/>
              </w:rPr>
              <w:t xml:space="preserve">Mermaid diagram accuracy, review in architecture PRs</w:t>
            </w:r>
            <w:r/>
          </w:p>
        </w:tc>
      </w:tr>
    </w:tbl>
    <w:p>
      <w:pPr>
        <w:pBdr>
          <w:bottom w:val="single" w:color="1a3c6e" w:sz="6" w:space="1"/>
        </w:pBdr>
        <w:spacing w:after="40" w:before="40"/>
        <w:ind/>
        <w:rPr/>
      </w:pPr>
      <w:r/>
      <w:r/>
    </w:p>
    <w:p>
      <w:pPr>
        <w:pBdr/>
        <w:spacing/>
        <w:ind/>
        <w:jc w:val="center"/>
        <w:rPr/>
      </w:pPr>
      <w:r>
        <w:rPr>
          <w:rFonts w:ascii="Calibri" w:hAnsi="Calibri"/>
          <w:b w:val="0"/>
          <w:color w:val="999999"/>
          <w:sz w:val="20"/>
        </w:rPr>
        <w:t xml:space="preserve">*End of Document*</w:t>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2070309020205020404"/>
  </w:font>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after="120" w:line="276" w:lineRule="auto"/>
      <w:ind/>
    </w:pPr>
    <w:rPr>
      <w:rFonts w:ascii="Calibri" w:hAnsi="Calibri"/>
      <w:color w:val="333333"/>
      <w:sz w:val="22"/>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200" w:before="360"/>
      <w:ind/>
      <w:outlineLvl w:val="0"/>
    </w:pPr>
    <w:rPr>
      <w:rFonts w:ascii="Calibri" w:hAnsi="Calibri" w:asciiTheme="majorHAnsi" w:hAnsiTheme="majorHAnsi" w:eastAsiaTheme="majorEastAsia" w:cstheme="majorBidi"/>
      <w:b/>
      <w:bCs/>
      <w:color w:val="1a3c6e"/>
      <w:sz w:val="36"/>
      <w:szCs w:val="28"/>
    </w:rPr>
  </w:style>
  <w:style w:type="paragraph" w:styleId="694">
    <w:name w:val="Heading 2"/>
    <w:basedOn w:val="688"/>
    <w:next w:val="688"/>
    <w:link w:val="707"/>
    <w:uiPriority w:val="9"/>
    <w:unhideWhenUsed/>
    <w:qFormat/>
    <w:pPr>
      <w:keepNext w:val="true"/>
      <w:keepLines w:val="true"/>
      <w:pBdr/>
      <w:spacing w:after="160" w:before="280"/>
      <w:ind/>
      <w:outlineLvl w:val="1"/>
    </w:pPr>
    <w:rPr>
      <w:rFonts w:ascii="Calibri" w:hAnsi="Calibri" w:asciiTheme="majorHAnsi" w:hAnsiTheme="majorHAnsi" w:eastAsiaTheme="majorEastAsia" w:cstheme="majorBidi"/>
      <w:b/>
      <w:bCs/>
      <w:color w:val="1a3c6e"/>
      <w:sz w:val="28"/>
      <w:szCs w:val="26"/>
    </w:rPr>
  </w:style>
  <w:style w:type="paragraph" w:styleId="695">
    <w:name w:val="Heading 3"/>
    <w:basedOn w:val="688"/>
    <w:next w:val="688"/>
    <w:link w:val="708"/>
    <w:uiPriority w:val="9"/>
    <w:unhideWhenUsed/>
    <w:qFormat/>
    <w:pPr>
      <w:keepNext w:val="true"/>
      <w:keepLines w:val="true"/>
      <w:pBdr/>
      <w:spacing w:after="120" w:before="200"/>
      <w:ind/>
      <w:outlineLvl w:val="2"/>
    </w:pPr>
    <w:rPr>
      <w:rFonts w:ascii="Calibri" w:hAnsi="Calibri" w:asciiTheme="majorHAnsi" w:hAnsiTheme="majorHAnsi" w:eastAsiaTheme="majorEastAsia" w:cstheme="majorBidi"/>
      <w:b/>
      <w:bCs/>
      <w:color w:val="1a3c6e"/>
      <w:sz w:val="24"/>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2026-10-15T07:39:55Z</dcterms:modified>
  <cp:category/>
</cp:coreProperties>
</file>