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42A52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🎬 第 1 章 - 计算机系统概论</w:t>
      </w:r>
    </w:p>
    <w:p w14:paraId="00000002" w14:textId="77777777" w:rsidR="00C42A5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对齐范围：</w:t>
      </w:r>
      <w:r>
        <w:rPr>
          <w:rFonts w:ascii="Google Sans" w:eastAsia="Google Sans" w:hAnsi="Google Sans" w:cs="Google Sans"/>
          <w:color w:val="1F1F1F"/>
        </w:rPr>
        <w:t xml:space="preserve"> 现代计算机理论基础、基本层次结构与性能指标。</w:t>
      </w:r>
    </w:p>
    <w:p w14:paraId="00000003" w14:textId="77777777" w:rsidR="00C42A52" w:rsidRDefault="00000000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重点复习内容（核心考点）</w:t>
      </w:r>
    </w:p>
    <w:p w14:paraId="00000004" w14:textId="77777777" w:rsidR="00C42A5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课件前半部分（冯·诺依曼结构）：</w:t>
      </w:r>
    </w:p>
    <w:p w14:paraId="00000005" w14:textId="77777777" w:rsidR="00C42A52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现代计算机的理论基础：“存储程序”与“程序控制”核心思想。</w:t>
      </w:r>
    </w:p>
    <w:p w14:paraId="00000006" w14:textId="77777777" w:rsidR="00C42A52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冯·诺依曼机器的五大硬件部件组成（运算器、控制器、存储器、输入设备、输出设备）及以</w:t>
      </w:r>
      <w:r>
        <w:rPr>
          <w:rFonts w:ascii="Google Sans" w:eastAsia="Google Sans" w:hAnsi="Google Sans" w:cs="Google Sans"/>
          <w:b/>
          <w:bCs/>
          <w:color w:val="1F1F1F"/>
        </w:rPr>
        <w:t>运算器为中心</w:t>
      </w:r>
      <w:r>
        <w:rPr>
          <w:rFonts w:ascii="Google Sans" w:eastAsia="Google Sans" w:hAnsi="Google Sans" w:cs="Google Sans"/>
          <w:color w:val="1F1F1F"/>
        </w:rPr>
        <w:t>向</w:t>
      </w:r>
      <w:r>
        <w:rPr>
          <w:rFonts w:ascii="Google Sans" w:eastAsia="Google Sans" w:hAnsi="Google Sans" w:cs="Google Sans"/>
          <w:b/>
          <w:bCs/>
          <w:color w:val="1F1F1F"/>
        </w:rPr>
        <w:t>以存储器为中心</w:t>
      </w:r>
      <w:r>
        <w:rPr>
          <w:rFonts w:ascii="Google Sans" w:eastAsia="Google Sans" w:hAnsi="Google Sans" w:cs="Google Sans"/>
          <w:color w:val="1F1F1F"/>
        </w:rPr>
        <w:t>的演变。</w:t>
      </w:r>
    </w:p>
    <w:p w14:paraId="00000007" w14:textId="77777777" w:rsidR="00C42A5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课件中段（发展规律与层次结构）：</w:t>
      </w:r>
    </w:p>
    <w:p w14:paraId="00000008" w14:textId="77777777" w:rsidR="00C42A52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计算机发展过程中的 </w:t>
      </w:r>
      <w:r>
        <w:rPr>
          <w:rFonts w:ascii="Google Sans" w:eastAsia="Google Sans" w:hAnsi="Google Sans" w:cs="Google Sans"/>
          <w:b/>
          <w:bCs/>
          <w:color w:val="1F1F1F"/>
        </w:rPr>
        <w:t>6 个规律</w:t>
      </w:r>
      <w:r>
        <w:rPr>
          <w:rFonts w:ascii="Google Sans" w:eastAsia="Google Sans" w:hAnsi="Google Sans" w:cs="Google Sans"/>
          <w:color w:val="1F1F1F"/>
        </w:rPr>
        <w:t>（重点关注</w:t>
      </w:r>
      <w:r>
        <w:rPr>
          <w:rFonts w:ascii="Google Sans" w:eastAsia="Google Sans" w:hAnsi="Google Sans" w:cs="Google Sans"/>
          <w:b/>
          <w:bCs/>
          <w:color w:val="1F1F1F"/>
        </w:rPr>
        <w:t>摩尔定律 (Moore's Law)</w:t>
      </w:r>
      <w:r>
        <w:rPr>
          <w:rFonts w:ascii="Google Sans" w:eastAsia="Google Sans" w:hAnsi="Google Sans" w:cs="Google Sans"/>
          <w:color w:val="1F1F1F"/>
        </w:rPr>
        <w:t>、岩石定律、贝尔定律等关于集成度与性能翻倍的硬件规律）。</w:t>
      </w:r>
    </w:p>
    <w:p w14:paraId="00000009" w14:textId="77777777" w:rsidR="00C42A52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计算机系统的</w:t>
      </w:r>
      <w:r>
        <w:rPr>
          <w:rFonts w:ascii="Google Sans" w:eastAsia="Google Sans" w:hAnsi="Google Sans" w:cs="Google Sans"/>
          <w:b/>
          <w:bCs/>
          <w:color w:val="1F1F1F"/>
        </w:rPr>
        <w:t>多级层次结构</w:t>
      </w:r>
      <w:r>
        <w:rPr>
          <w:rFonts w:ascii="Google Sans" w:eastAsia="Google Sans" w:hAnsi="Google Sans" w:cs="Google Sans"/>
          <w:color w:val="1F1F1F"/>
        </w:rPr>
        <w:t>：微程序设计级（M0）、传统机器语言级（M1）、操作系统级、汇编语言级（M2）、高级语言级（M3）。理解上下级之间的透明性与解释/翻译关系。</w:t>
      </w:r>
    </w:p>
    <w:p w14:paraId="0000000A" w14:textId="77777777" w:rsidR="00C42A5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课件后半部分（性能评价指标 - 计算题高发区）：</w:t>
      </w:r>
    </w:p>
    <w:p w14:paraId="0000000B" w14:textId="77777777" w:rsidR="00C42A52" w:rsidRDefault="00000000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基本指标定义：主频（时钟频率）、时钟周期（$T$）、机器周期、指令周期。</w:t>
      </w:r>
    </w:p>
    <w:p w14:paraId="0000000C" w14:textId="77777777" w:rsidR="00C42A52" w:rsidRDefault="00000000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核心性能计算：</w:t>
      </w:r>
      <w:r>
        <w:rPr>
          <w:rFonts w:ascii="Google Sans" w:eastAsia="Google Sans" w:hAnsi="Google Sans" w:cs="Google Sans"/>
          <w:b/>
          <w:bCs/>
          <w:color w:val="1F1F1F"/>
        </w:rPr>
        <w:t>CPI（每条指令时钟周期数）</w:t>
      </w:r>
      <w:r>
        <w:rPr>
          <w:rFonts w:ascii="Google Sans" w:eastAsia="Google Sans" w:hAnsi="Google Sans" w:cs="Google Sans"/>
          <w:color w:val="1F1F1F"/>
        </w:rPr>
        <w:t>、</w:t>
      </w:r>
      <w:r>
        <w:rPr>
          <w:rFonts w:ascii="Google Sans" w:eastAsia="Google Sans" w:hAnsi="Google Sans" w:cs="Google Sans"/>
          <w:b/>
          <w:bCs/>
          <w:color w:val="1F1F1F"/>
        </w:rPr>
        <w:t>MIPS（每秒百万条指令）</w:t>
      </w:r>
      <w:r>
        <w:rPr>
          <w:rFonts w:ascii="Google Sans" w:eastAsia="Google Sans" w:hAnsi="Google Sans" w:cs="Google Sans"/>
          <w:color w:val="1F1F1F"/>
        </w:rPr>
        <w:t>、</w:t>
      </w:r>
      <w:r>
        <w:rPr>
          <w:rFonts w:ascii="Google Sans" w:eastAsia="Google Sans" w:hAnsi="Google Sans" w:cs="Google Sans"/>
          <w:b/>
          <w:bCs/>
          <w:color w:val="1F1F1F"/>
        </w:rPr>
        <w:t>MFLOPS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000000D" w14:textId="77777777" w:rsidR="00C42A52" w:rsidRDefault="00000000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系统级调优计算：</w:t>
      </w:r>
      <w:r>
        <w:rPr>
          <w:rFonts w:ascii="Google Sans" w:eastAsia="Google Sans" w:hAnsi="Google Sans" w:cs="Google Sans"/>
          <w:b/>
          <w:bCs/>
          <w:color w:val="1F1F1F"/>
        </w:rPr>
        <w:t>阿姆达尔定律（Amdahl's Law）</w:t>
      </w:r>
      <w:r>
        <w:rPr>
          <w:rFonts w:ascii="Google Sans" w:eastAsia="Google Sans" w:hAnsi="Google Sans" w:cs="Google Sans"/>
          <w:color w:val="1F1F1F"/>
        </w:rPr>
        <w:t xml:space="preserve"> 的系统加速比公式。</w:t>
      </w:r>
    </w:p>
    <w:p w14:paraId="0000000E" w14:textId="77777777" w:rsidR="00C42A52" w:rsidRDefault="00000000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🛑 划重点：可以跳过的次要内容</w:t>
      </w:r>
    </w:p>
    <w:p w14:paraId="0000000F" w14:textId="77777777" w:rsidR="00C42A52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早期电子管、晶体管计算机的具体历史型号（如 ENIAC、EDVAC、UNIVAC）的琐碎研发年份及历史故事叙述页。</w:t>
      </w:r>
    </w:p>
    <w:p w14:paraId="00000010" w14:textId="77777777" w:rsidR="00C42A52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计算机在现代社会各大行业（如气象、娱乐、商业）的具体应用常识介绍页。</w:t>
      </w:r>
    </w:p>
    <w:p w14:paraId="00000011" w14:textId="77777777" w:rsidR="00C42A52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🎛️ 第 2 章 - 计算机的逻辑部件</w:t>
      </w:r>
    </w:p>
    <w:p w14:paraId="00000012" w14:textId="77777777" w:rsidR="00C42A5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对齐范围：</w:t>
      </w:r>
      <w:r>
        <w:rPr>
          <w:rFonts w:ascii="Google Sans" w:eastAsia="Google Sans" w:hAnsi="Google Sans" w:cs="Google Sans"/>
          <w:color w:val="1F1F1F"/>
        </w:rPr>
        <w:t xml:space="preserve"> 组合、时序与阵列逻辑理论，以及各类核心运算部件的硬件设计。</w:t>
      </w:r>
    </w:p>
    <w:p w14:paraId="00000013" w14:textId="77777777" w:rsidR="00C42A52" w:rsidRDefault="00000000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重点复习内容（核心考点）</w:t>
      </w:r>
    </w:p>
    <w:p w14:paraId="00000014" w14:textId="77777777" w:rsidR="00C42A52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课件前段（基础理论回顾）：</w:t>
      </w:r>
    </w:p>
    <w:p w14:paraId="00000015" w14:textId="77777777" w:rsidR="00C42A52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组合逻辑电路：</w:t>
      </w:r>
      <w:r>
        <w:rPr>
          <w:rFonts w:ascii="Google Sans" w:eastAsia="Google Sans" w:hAnsi="Google Sans" w:cs="Google Sans"/>
          <w:color w:val="1F1F1F"/>
        </w:rPr>
        <w:t xml:space="preserve"> 基本门电路、全加器（FA）的逻辑表达式与电路结构图。</w:t>
      </w:r>
    </w:p>
    <w:p w14:paraId="00000016" w14:textId="77777777" w:rsidR="00C42A52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时序逻辑电路：</w:t>
      </w:r>
      <w:r>
        <w:rPr>
          <w:rFonts w:ascii="Google Sans" w:eastAsia="Google Sans" w:hAnsi="Google Sans" w:cs="Google Sans"/>
          <w:color w:val="1F1F1F"/>
        </w:rPr>
        <w:t xml:space="preserve"> 触发器（Flip-Flop）的基本双稳态存储原理。</w:t>
      </w:r>
    </w:p>
    <w:p w14:paraId="00000017" w14:textId="77777777" w:rsidR="00C42A52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课件中段（标准中规模集成电路设计）：</w:t>
      </w:r>
    </w:p>
    <w:p w14:paraId="00000018" w14:textId="77777777" w:rsidR="00C42A52" w:rsidRDefault="00000000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核心部件的设计与引脚逻辑：</w:t>
      </w:r>
      <w:r>
        <w:rPr>
          <w:rFonts w:ascii="Google Sans" w:eastAsia="Google Sans" w:hAnsi="Google Sans" w:cs="Google Sans"/>
          <w:b/>
          <w:bCs/>
          <w:color w:val="1F1F1F"/>
        </w:rPr>
        <w:t>译码器（重点掌握 74LS138 的 3-8 译码逻辑及使能端控制）</w:t>
      </w:r>
      <w:r>
        <w:rPr>
          <w:rFonts w:ascii="Google Sans" w:eastAsia="Google Sans" w:hAnsi="Google Sans" w:cs="Google Sans"/>
          <w:color w:val="1F1F1F"/>
        </w:rPr>
        <w:t>、数据选择器（Mux）/数据分配器。</w:t>
      </w:r>
    </w:p>
    <w:p w14:paraId="00000019" w14:textId="77777777" w:rsidR="00C42A52" w:rsidRDefault="00000000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寄存器（并行输入/输出锁存）与计数器（状态机自增减原理）。</w:t>
      </w:r>
    </w:p>
    <w:p w14:paraId="0000001A" w14:textId="77777777" w:rsidR="00C42A52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课件后半部分（运算器硬件实现 - 大题高频）：</w:t>
      </w:r>
    </w:p>
    <w:p w14:paraId="0000001B" w14:textId="77777777" w:rsidR="00C42A52" w:rsidRDefault="00000000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串行加法器与并行加法器：</w:t>
      </w:r>
      <w:r>
        <w:rPr>
          <w:rFonts w:ascii="Google Sans" w:eastAsia="Google Sans" w:hAnsi="Google Sans" w:cs="Google Sans"/>
          <w:color w:val="1F1F1F"/>
        </w:rPr>
        <w:t xml:space="preserve"> 重点掌握</w:t>
      </w:r>
      <w:r>
        <w:rPr>
          <w:rFonts w:ascii="Google Sans" w:eastAsia="Google Sans" w:hAnsi="Google Sans" w:cs="Google Sans"/>
          <w:b/>
          <w:bCs/>
          <w:color w:val="1F1F1F"/>
        </w:rPr>
        <w:t>超前进位加法器（CLA）</w:t>
      </w:r>
      <w:r>
        <w:rPr>
          <w:rFonts w:ascii="Google Sans" w:eastAsia="Google Sans" w:hAnsi="Google Sans" w:cs="Google Sans"/>
          <w:color w:val="1F1F1F"/>
        </w:rPr>
        <w:t xml:space="preserve"> 的设计思想，理解进位产生函数 $G_i = A_i \cdot B_i$ 和进位传递函数 $P_i = A_i \oplus B_i$ 的推导，以及多位先行进位链的电路连接。</w:t>
      </w:r>
    </w:p>
    <w:p w14:paraId="0000001C" w14:textId="77777777" w:rsidR="00C42A52" w:rsidRDefault="00000000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阵列逻辑器件概念：</w:t>
      </w:r>
      <w:r>
        <w:rPr>
          <w:rFonts w:ascii="Google Sans" w:eastAsia="Google Sans" w:hAnsi="Google Sans" w:cs="Google Sans"/>
          <w:color w:val="1F1F1F"/>
        </w:rPr>
        <w:t xml:space="preserve"> 门阵列、PLA（可编程逻辑阵列）、PAL、GAL、以及现代 </w:t>
      </w:r>
      <w:r>
        <w:rPr>
          <w:rFonts w:ascii="Google Sans" w:eastAsia="Google Sans" w:hAnsi="Google Sans" w:cs="Google Sans"/>
          <w:b/>
          <w:bCs/>
          <w:color w:val="1F1F1F"/>
        </w:rPr>
        <w:t>CPLD/FPGA</w:t>
      </w:r>
      <w:r>
        <w:rPr>
          <w:rFonts w:ascii="Google Sans" w:eastAsia="Google Sans" w:hAnsi="Google Sans" w:cs="Google Sans"/>
          <w:color w:val="1F1F1F"/>
        </w:rPr>
        <w:t xml:space="preserve"> 的基本架构差异。</w:t>
      </w:r>
    </w:p>
    <w:p w14:paraId="0000001D" w14:textId="77777777" w:rsidR="00C42A52" w:rsidRDefault="00000000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🛑 划重点：可以跳过的次要内容</w:t>
      </w:r>
    </w:p>
    <w:p w14:paraId="0000001E" w14:textId="77777777" w:rsidR="00C42A52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半导体物理内部、MOS 管、双极型晶体管（TTL）内部电子与空穴运动的具体半导体微观物理公式。</w:t>
      </w:r>
    </w:p>
    <w:p w14:paraId="0000001F" w14:textId="77777777" w:rsidR="00C42A52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特定陈旧芯片具体的物理引脚封装排列图（只需掌握逻辑功能，无需背诵物理引脚编号）。</w:t>
      </w:r>
    </w:p>
    <w:p w14:paraId="00000020" w14:textId="77777777" w:rsidR="00C42A52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🔢 第 3 章 - 运算方法和运算部件</w:t>
      </w:r>
    </w:p>
    <w:p w14:paraId="00000021" w14:textId="77777777" w:rsidR="00C42A5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对齐范围：</w:t>
      </w:r>
      <w:r>
        <w:rPr>
          <w:rFonts w:ascii="Google Sans" w:eastAsia="Google Sans" w:hAnsi="Google Sans" w:cs="Google Sans"/>
          <w:color w:val="1F1F1F"/>
        </w:rPr>
        <w:t xml:space="preserve"> 进制转换、定浮点表示与四则运算、校验码逻辑实现（</w:t>
      </w:r>
      <w:r>
        <w:rPr>
          <w:rFonts w:ascii="Google Sans" w:eastAsia="Google Sans" w:hAnsi="Google Sans" w:cs="Google Sans"/>
          <w:b/>
          <w:bCs/>
          <w:color w:val="1F1F1F"/>
        </w:rPr>
        <w:t>期末计算题最大集中地</w:t>
      </w:r>
      <w:r>
        <w:rPr>
          <w:rFonts w:ascii="Google Sans" w:eastAsia="Google Sans" w:hAnsi="Google Sans" w:cs="Google Sans"/>
          <w:color w:val="1F1F1F"/>
        </w:rPr>
        <w:t>）。</w:t>
      </w:r>
    </w:p>
    <w:p w14:paraId="00000022" w14:textId="77777777" w:rsidR="00C42A52" w:rsidRDefault="00000000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重点复习内容（核心考点）</w:t>
      </w:r>
    </w:p>
    <w:p w14:paraId="00000023" w14:textId="77777777" w:rsidR="00C42A52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课件第一部分（数制与编码）：</w:t>
      </w:r>
    </w:p>
    <w:p w14:paraId="00000024" w14:textId="77777777" w:rsidR="00C42A52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二进制、八进制、十进制、十六进制之间的快速相互转换。</w:t>
      </w:r>
    </w:p>
    <w:p w14:paraId="00000025" w14:textId="77777777" w:rsidR="00C42A52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带符号定点数的四种表示：</w:t>
      </w:r>
      <w:r>
        <w:rPr>
          <w:rFonts w:ascii="Google Sans" w:eastAsia="Google Sans" w:hAnsi="Google Sans" w:cs="Google Sans"/>
          <w:b/>
          <w:bCs/>
          <w:color w:val="1F1F1F"/>
        </w:rPr>
        <w:t>原码、补码、反码、移码</w:t>
      </w:r>
      <w:r>
        <w:rPr>
          <w:rFonts w:ascii="Google Sans" w:eastAsia="Google Sans" w:hAnsi="Google Sans" w:cs="Google Sans"/>
          <w:color w:val="1F1F1F"/>
        </w:rPr>
        <w:t>。掌握它们的数符特点、表示范围、以及“0”在各码制下的唯一性。</w:t>
      </w:r>
    </w:p>
    <w:p w14:paraId="00000026" w14:textId="77777777" w:rsidR="00C42A52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课件第二部分（定点数算术运算）：</w:t>
      </w:r>
    </w:p>
    <w:p w14:paraId="00000027" w14:textId="77777777" w:rsidR="00C42A52" w:rsidRDefault="00000000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补码加减法运算：运算规则及</w:t>
      </w:r>
      <w:r>
        <w:rPr>
          <w:rFonts w:ascii="Google Sans" w:eastAsia="Google Sans" w:hAnsi="Google Sans" w:cs="Google Sans"/>
          <w:b/>
          <w:bCs/>
          <w:color w:val="1F1F1F"/>
        </w:rPr>
        <w:t>溢出判断的三种硬件方法</w:t>
      </w:r>
      <w:r>
        <w:rPr>
          <w:rFonts w:ascii="Google Sans" w:eastAsia="Google Sans" w:hAnsi="Google Sans" w:cs="Google Sans"/>
          <w:color w:val="1F1F1F"/>
        </w:rPr>
        <w:t>（单符号位进位判定法、双符号位/变形补码法 01或10、相同符号相加/相反符号相减判定法）。</w:t>
      </w:r>
    </w:p>
    <w:p w14:paraId="00000028" w14:textId="77777777" w:rsidR="00C42A52" w:rsidRDefault="00000000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带符号二进制乘法：</w:t>
      </w:r>
      <w:r>
        <w:rPr>
          <w:rFonts w:ascii="Google Sans" w:eastAsia="Google Sans" w:hAnsi="Google Sans" w:cs="Google Sans"/>
          <w:b/>
          <w:bCs/>
          <w:color w:val="1F1F1F"/>
        </w:rPr>
        <w:t>原码一位乘法</w:t>
      </w:r>
      <w:r>
        <w:rPr>
          <w:rFonts w:ascii="Google Sans" w:eastAsia="Google Sans" w:hAnsi="Google Sans" w:cs="Google Sans"/>
          <w:color w:val="1F1F1F"/>
        </w:rPr>
        <w:t xml:space="preserve"> 与 </w:t>
      </w:r>
      <w:r>
        <w:rPr>
          <w:rFonts w:ascii="Google Sans" w:eastAsia="Google Sans" w:hAnsi="Google Sans" w:cs="Google Sans"/>
          <w:b/>
          <w:bCs/>
          <w:color w:val="1F1F1F"/>
        </w:rPr>
        <w:t>补码一位乘法（Booth 算法）</w:t>
      </w:r>
      <w:r>
        <w:rPr>
          <w:rFonts w:ascii="Google Sans" w:eastAsia="Google Sans" w:hAnsi="Google Sans" w:cs="Google Sans"/>
          <w:color w:val="1F1F1F"/>
        </w:rPr>
        <w:t>。必须熟练掌握 Booth 算法的右移规则（看 $Y_n Y_{n+1}$ 的状态执行 $+[X]_\text{补}$、$+[-X]_\text{补}$ 或只右移）。</w:t>
      </w:r>
    </w:p>
    <w:p w14:paraId="00000029" w14:textId="77777777" w:rsidR="00C42A52" w:rsidRDefault="00000000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带符号二进制除法：原码一位除法（</w:t>
      </w:r>
      <w:r>
        <w:rPr>
          <w:rFonts w:ascii="Google Sans" w:eastAsia="Google Sans" w:hAnsi="Google Sans" w:cs="Google Sans"/>
          <w:b/>
          <w:bCs/>
          <w:color w:val="1F1F1F"/>
        </w:rPr>
        <w:t>加减交替法/不恢复余数法</w:t>
      </w:r>
      <w:r>
        <w:rPr>
          <w:rFonts w:ascii="Google Sans" w:eastAsia="Google Sans" w:hAnsi="Google Sans" w:cs="Google Sans"/>
          <w:color w:val="1F1F1F"/>
        </w:rPr>
        <w:t>）的运算步数与符号处理。</w:t>
      </w:r>
    </w:p>
    <w:p w14:paraId="0000002A" w14:textId="77777777" w:rsidR="00C42A52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课件第三部分（浮点数算术运算）：</w:t>
      </w:r>
    </w:p>
    <w:p w14:paraId="0000002B" w14:textId="77777777" w:rsidR="00C42A52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浮点数表示：阶码（通常用移码）、尾数（通常用补码或原码规格化小数），</w:t>
      </w:r>
      <w:r>
        <w:rPr>
          <w:rFonts w:ascii="Google Sans" w:eastAsia="Google Sans" w:hAnsi="Google Sans" w:cs="Google Sans"/>
          <w:b/>
          <w:bCs/>
          <w:color w:val="1F1F1F"/>
        </w:rPr>
        <w:t>IEEE 754 标准格式</w:t>
      </w:r>
      <w:r>
        <w:rPr>
          <w:rFonts w:ascii="Google Sans" w:eastAsia="Google Sans" w:hAnsi="Google Sans" w:cs="Google Sans"/>
          <w:color w:val="1F1F1F"/>
        </w:rPr>
        <w:t>（单精度 32 位：1位正负符号、8位移码阶码、23位隐藏最高位1的尾数）。</w:t>
      </w:r>
    </w:p>
    <w:p w14:paraId="0000002C" w14:textId="77777777" w:rsidR="00C42A52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浮点数加减运算完整步骤：</w:t>
      </w:r>
      <w:r>
        <w:rPr>
          <w:rFonts w:ascii="Google Sans" w:eastAsia="Google Sans" w:hAnsi="Google Sans" w:cs="Google Sans"/>
          <w:b/>
          <w:bCs/>
          <w:color w:val="1F1F1F"/>
        </w:rPr>
        <w:t>对阶（小阶向大阶看齐，尾数右移）</w:t>
      </w:r>
      <w:r>
        <w:rPr>
          <w:rFonts w:ascii="Google Sans" w:eastAsia="Google Sans" w:hAnsi="Google Sans" w:cs="Google Sans"/>
          <w:color w:val="1F1F1F"/>
        </w:rPr>
        <w:t xml:space="preserve"> $\rightarrow$ </w:t>
      </w:r>
      <w:r>
        <w:rPr>
          <w:rFonts w:ascii="Google Sans" w:eastAsia="Google Sans" w:hAnsi="Google Sans" w:cs="Google Sans"/>
          <w:b/>
          <w:bCs/>
          <w:color w:val="1F1F1F"/>
        </w:rPr>
        <w:t>尾数加减</w:t>
      </w:r>
      <w:r>
        <w:rPr>
          <w:rFonts w:ascii="Google Sans" w:eastAsia="Google Sans" w:hAnsi="Google Sans" w:cs="Google Sans"/>
          <w:color w:val="1F1F1F"/>
        </w:rPr>
        <w:t xml:space="preserve"> $\rightarrow$ </w:t>
      </w:r>
      <w:r>
        <w:rPr>
          <w:rFonts w:ascii="Google Sans" w:eastAsia="Google Sans" w:hAnsi="Google Sans" w:cs="Google Sans"/>
          <w:b/>
          <w:bCs/>
          <w:color w:val="1F1F1F"/>
        </w:rPr>
        <w:t>规格化（左规与右规）</w:t>
      </w:r>
      <w:r>
        <w:rPr>
          <w:rFonts w:ascii="Google Sans" w:eastAsia="Google Sans" w:hAnsi="Google Sans" w:cs="Google Sans"/>
          <w:color w:val="1F1F1F"/>
        </w:rPr>
        <w:t xml:space="preserve"> $\rightarrow$ </w:t>
      </w:r>
      <w:r>
        <w:rPr>
          <w:rFonts w:ascii="Google Sans" w:eastAsia="Google Sans" w:hAnsi="Google Sans" w:cs="Google Sans"/>
          <w:b/>
          <w:bCs/>
          <w:color w:val="1F1F1F"/>
        </w:rPr>
        <w:t>舍入（0舍1入法）</w:t>
      </w:r>
      <w:r>
        <w:rPr>
          <w:rFonts w:ascii="Google Sans" w:eastAsia="Google Sans" w:hAnsi="Google Sans" w:cs="Google Sans"/>
          <w:color w:val="1F1F1F"/>
        </w:rPr>
        <w:t xml:space="preserve"> $\rightarrow$ </w:t>
      </w:r>
      <w:r>
        <w:rPr>
          <w:rFonts w:ascii="Google Sans" w:eastAsia="Google Sans" w:hAnsi="Google Sans" w:cs="Google Sans"/>
          <w:b/>
          <w:bCs/>
          <w:color w:val="1F1F1F"/>
        </w:rPr>
        <w:t>阶码溢出判断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000002D" w14:textId="77777777" w:rsidR="00C42A52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课件第四部分（数据校验码 - 必考）：</w:t>
      </w:r>
    </w:p>
    <w:p w14:paraId="0000002E" w14:textId="77777777" w:rsidR="00C42A52" w:rsidRDefault="00000000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奇偶校验：</w:t>
      </w:r>
      <w:r>
        <w:rPr>
          <w:rFonts w:ascii="Google Sans" w:eastAsia="Google Sans" w:hAnsi="Google Sans" w:cs="Google Sans"/>
          <w:color w:val="1F1F1F"/>
        </w:rPr>
        <w:t xml:space="preserve"> 单向与双向奇偶校验的编码与逻辑电路实现。</w:t>
      </w:r>
    </w:p>
    <w:p w14:paraId="0000002F" w14:textId="77777777" w:rsidR="00C42A52" w:rsidRDefault="00000000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海明校验码（SEC-DED）：</w:t>
      </w:r>
      <w:r>
        <w:rPr>
          <w:rFonts w:ascii="Google Sans" w:eastAsia="Google Sans" w:hAnsi="Google Sans" w:cs="Google Sans"/>
          <w:color w:val="1F1F1F"/>
        </w:rPr>
        <w:t xml:space="preserve"> 校验位位数公式 $2^k \ge n + k + 1$、各校验位负责的比特位方程分布、</w:t>
      </w:r>
      <w:r>
        <w:rPr>
          <w:rFonts w:ascii="Google Sans" w:eastAsia="Google Sans" w:hAnsi="Google Sans" w:cs="Google Sans"/>
          <w:b/>
          <w:bCs/>
          <w:color w:val="1F1F1F"/>
        </w:rPr>
        <w:t>指误字（Syndrome）</w:t>
      </w:r>
      <w:r>
        <w:rPr>
          <w:rFonts w:ascii="Google Sans" w:eastAsia="Google Sans" w:hAnsi="Google Sans" w:cs="Google Sans"/>
          <w:color w:val="1F1F1F"/>
        </w:rPr>
        <w:t xml:space="preserve"> 的计算与硬件纠错译码器。</w:t>
      </w:r>
    </w:p>
    <w:p w14:paraId="00000030" w14:textId="77777777" w:rsidR="00C42A52" w:rsidRDefault="00000000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循环冗余校验（CRC）：</w:t>
      </w:r>
      <w:r>
        <w:rPr>
          <w:rFonts w:ascii="Google Sans" w:eastAsia="Google Sans" w:hAnsi="Google Sans" w:cs="Google Sans"/>
          <w:color w:val="1F1F1F"/>
        </w:rPr>
        <w:t xml:space="preserve"> 模 2 除法任意多项式生成算法、余数校验与纠错逻辑。</w:t>
      </w:r>
    </w:p>
    <w:p w14:paraId="00000031" w14:textId="77777777" w:rsidR="00C42A52" w:rsidRDefault="00000000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🛑 划重点：可以跳过的次要内容</w:t>
      </w:r>
    </w:p>
    <w:p w14:paraId="00000032" w14:textId="77777777" w:rsidR="00C42A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极其冷门且繁琐的 BCD 码（十进制数）在硬件电路上的直接乘法、除法硬件连线与校正公式页。</w:t>
      </w:r>
    </w:p>
    <w:p w14:paraId="00000033" w14:textId="77777777" w:rsidR="00C42A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>复杂的双位乘法（高阶 Booth 两位乘）或者华莱士树（Wallace Tree）乘法器的级联长公式推导页（重点在一维常规乘除法）。</w:t>
      </w:r>
    </w:p>
    <w:p w14:paraId="00000034" w14:textId="77777777" w:rsidR="00C42A52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💾 第 4 章 - 存储系统</w:t>
      </w:r>
    </w:p>
    <w:p w14:paraId="00000035" w14:textId="77777777" w:rsidR="00C42A5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对齐范围：</w:t>
      </w:r>
      <w:r>
        <w:rPr>
          <w:rFonts w:ascii="Google Sans" w:eastAsia="Google Sans" w:hAnsi="Google Sans" w:cs="Google Sans"/>
          <w:color w:val="1F1F1F"/>
        </w:rPr>
        <w:t xml:space="preserve"> 存储器扩展、多体交叉、Cache 三大映射与策略、虚拟存储地址转换。</w:t>
      </w:r>
    </w:p>
    <w:p w14:paraId="00000036" w14:textId="77777777" w:rsidR="00C42A52" w:rsidRDefault="00000000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重点复习内容（核心考点）</w:t>
      </w:r>
    </w:p>
    <w:p w14:paraId="00000037" w14:textId="77777777" w:rsidR="00C42A5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课件前段（层次结构与基本元件）：</w:t>
      </w:r>
    </w:p>
    <w:p w14:paraId="00000038" w14:textId="77777777" w:rsidR="00C42A5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存储系统的“程序局部性原理”（时间局部性与空间局部性）。</w:t>
      </w:r>
    </w:p>
    <w:p w14:paraId="00000039" w14:textId="77777777" w:rsidR="00C42A5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各种存储介质的物理与工作特性对比：SRAM（触发器、快、常用于Cache）、DRAM（电容电荷、慢、需定期</w:t>
      </w:r>
      <w:r>
        <w:rPr>
          <w:rFonts w:ascii="Google Sans" w:eastAsia="Google Sans" w:hAnsi="Google Sans" w:cs="Google Sans"/>
          <w:b/>
          <w:bCs/>
          <w:color w:val="1F1F1F"/>
        </w:rPr>
        <w:t>刷新</w:t>
      </w:r>
      <w:r>
        <w:rPr>
          <w:rFonts w:ascii="Google Sans" w:eastAsia="Google Sans" w:hAnsi="Google Sans" w:cs="Google Sans"/>
          <w:color w:val="1F1F1F"/>
        </w:rPr>
        <w:t>、常用于主存）、Flash 闪存。</w:t>
      </w:r>
    </w:p>
    <w:p w14:paraId="0000003A" w14:textId="77777777" w:rsidR="00C42A5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课件中段（主存设计与多体交叉 - 核心）：</w:t>
      </w:r>
    </w:p>
    <w:p w14:paraId="0000003B" w14:textId="77777777" w:rsidR="00C42A5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存储器容量扩展：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位扩展</w:t>
      </w:r>
      <w:r>
        <w:rPr>
          <w:rFonts w:ascii="Google Sans" w:eastAsia="Google Sans" w:hAnsi="Google Sans" w:cs="Google Sans"/>
          <w:color w:val="1F1F1F"/>
        </w:rPr>
        <w:t>（增加数据总线宽度）、</w:t>
      </w:r>
      <w:r>
        <w:rPr>
          <w:rFonts w:ascii="Google Sans" w:eastAsia="Google Sans" w:hAnsi="Google Sans" w:cs="Google Sans"/>
          <w:b/>
          <w:bCs/>
          <w:color w:val="1F1F1F"/>
        </w:rPr>
        <w:t>字扩展</w:t>
      </w:r>
      <w:r>
        <w:rPr>
          <w:rFonts w:ascii="Google Sans" w:eastAsia="Google Sans" w:hAnsi="Google Sans" w:cs="Google Sans"/>
          <w:color w:val="1F1F1F"/>
        </w:rPr>
        <w:t>（利用高位地址线和译码器如 74LS138 产生片选信号 $\overline{\text{CS}}$）、字位同时扩展。</w:t>
      </w:r>
    </w:p>
    <w:p w14:paraId="0000003C" w14:textId="77777777" w:rsidR="00C42A5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多体交叉存储器：</w:t>
      </w:r>
      <w:r>
        <w:rPr>
          <w:rFonts w:ascii="Google Sans" w:eastAsia="Google Sans" w:hAnsi="Google Sans" w:cs="Google Sans"/>
          <w:color w:val="1F1F1F"/>
        </w:rPr>
        <w:t xml:space="preserve"> 高位交叉编址（顺序存储）与 </w:t>
      </w:r>
      <w:r>
        <w:rPr>
          <w:rFonts w:ascii="Google Sans" w:eastAsia="Google Sans" w:hAnsi="Google Sans" w:cs="Google Sans"/>
          <w:b/>
          <w:bCs/>
          <w:color w:val="1F1F1F"/>
        </w:rPr>
        <w:t>低位交叉编址（流水线并行存取）</w:t>
      </w:r>
      <w:r>
        <w:rPr>
          <w:rFonts w:ascii="Google Sans" w:eastAsia="Google Sans" w:hAnsi="Google Sans" w:cs="Google Sans"/>
          <w:color w:val="1F1F1F"/>
        </w:rPr>
        <w:t xml:space="preserve"> 的编址规则、模 $M$ 交叉存储器的周期流水带宽计算。</w:t>
      </w:r>
    </w:p>
    <w:p w14:paraId="0000003D" w14:textId="77777777" w:rsidR="00C42A5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课件后半部分（Cache 系统 - 必考综合大题）：</w:t>
      </w:r>
    </w:p>
    <w:p w14:paraId="0000003E" w14:textId="77777777" w:rsidR="00C42A52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三大地址映像方式：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直接映像</w:t>
      </w:r>
      <w:r>
        <w:rPr>
          <w:rFonts w:ascii="Google Sans" w:eastAsia="Google Sans" w:hAnsi="Google Sans" w:cs="Google Sans"/>
          <w:color w:val="1F1F1F"/>
        </w:rPr>
        <w:t>、</w:t>
      </w:r>
      <w:r>
        <w:rPr>
          <w:rFonts w:ascii="Google Sans" w:eastAsia="Google Sans" w:hAnsi="Google Sans" w:cs="Google Sans"/>
          <w:b/>
          <w:bCs/>
          <w:color w:val="1F1F1F"/>
        </w:rPr>
        <w:t>全相联映像</w:t>
      </w:r>
      <w:r>
        <w:rPr>
          <w:rFonts w:ascii="Google Sans" w:eastAsia="Google Sans" w:hAnsi="Google Sans" w:cs="Google Sans"/>
          <w:color w:val="1F1F1F"/>
        </w:rPr>
        <w:t>、</w:t>
      </w:r>
      <w:r>
        <w:rPr>
          <w:rFonts w:ascii="Google Sans" w:eastAsia="Google Sans" w:hAnsi="Google Sans" w:cs="Google Sans"/>
          <w:b/>
          <w:bCs/>
          <w:color w:val="1F1F1F"/>
        </w:rPr>
        <w:t>组相联映像</w:t>
      </w:r>
      <w:r>
        <w:rPr>
          <w:rFonts w:ascii="Google Sans" w:eastAsia="Google Sans" w:hAnsi="Google Sans" w:cs="Google Sans"/>
          <w:color w:val="1F1F1F"/>
        </w:rPr>
        <w:t xml:space="preserve">。熟练计算物理地址中 </w:t>
      </w:r>
      <w:r>
        <w:rPr>
          <w:rFonts w:ascii="Google Sans" w:eastAsia="Google Sans" w:hAnsi="Google Sans" w:cs="Google Sans"/>
          <w:b/>
          <w:bCs/>
          <w:color w:val="1F1F1F"/>
        </w:rPr>
        <w:t>[主存字块标记 Tag | 组号 Index | 块内偏移 Offset]</w:t>
      </w:r>
      <w:r>
        <w:rPr>
          <w:rFonts w:ascii="Google Sans" w:eastAsia="Google Sans" w:hAnsi="Google Sans" w:cs="Google Sans"/>
          <w:color w:val="1F1F1F"/>
        </w:rPr>
        <w:t xml:space="preserve"> 的位数分配。</w:t>
      </w:r>
    </w:p>
    <w:p w14:paraId="0000003F" w14:textId="77777777" w:rsidR="00C42A52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Cache 替换算法（FIFO、</w:t>
      </w:r>
      <w:r>
        <w:rPr>
          <w:rFonts w:ascii="Google Sans" w:eastAsia="Google Sans" w:hAnsi="Google Sans" w:cs="Google Sans"/>
          <w:b/>
          <w:bCs/>
          <w:color w:val="1F1F1F"/>
        </w:rPr>
        <w:t>LRU 核心</w:t>
      </w:r>
      <w:r>
        <w:rPr>
          <w:rFonts w:ascii="Google Sans" w:eastAsia="Google Sans" w:hAnsi="Google Sans" w:cs="Google Sans"/>
          <w:color w:val="1F1F1F"/>
        </w:rPr>
        <w:t>）及写策略（</w:t>
      </w:r>
      <w:r>
        <w:rPr>
          <w:rFonts w:ascii="Google Sans" w:eastAsia="Google Sans" w:hAnsi="Google Sans" w:cs="Google Sans"/>
          <w:b/>
          <w:bCs/>
          <w:color w:val="1F1F1F"/>
        </w:rPr>
        <w:t>写直达/全写法</w:t>
      </w:r>
      <w:r>
        <w:rPr>
          <w:rFonts w:ascii="Google Sans" w:eastAsia="Google Sans" w:hAnsi="Google Sans" w:cs="Google Sans"/>
          <w:color w:val="1F1F1F"/>
        </w:rPr>
        <w:t>、</w:t>
      </w:r>
      <w:r>
        <w:rPr>
          <w:rFonts w:ascii="Google Sans" w:eastAsia="Google Sans" w:hAnsi="Google Sans" w:cs="Google Sans"/>
          <w:b/>
          <w:bCs/>
          <w:color w:val="1F1F1F"/>
        </w:rPr>
        <w:t>写回法</w:t>
      </w:r>
      <w:r>
        <w:rPr>
          <w:rFonts w:ascii="Google Sans" w:eastAsia="Google Sans" w:hAnsi="Google Sans" w:cs="Google Sans"/>
          <w:color w:val="1F1F1F"/>
        </w:rPr>
        <w:t>、写分配与不写分配）。</w:t>
      </w:r>
    </w:p>
    <w:p w14:paraId="00000040" w14:textId="77777777" w:rsidR="00C42A5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课件末尾（虚拟存储与外存）：</w:t>
      </w:r>
    </w:p>
    <w:p w14:paraId="00000041" w14:textId="77777777" w:rsidR="00C42A52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虚拟存储器管理：</w:t>
      </w:r>
      <w:r>
        <w:rPr>
          <w:rFonts w:ascii="Google Sans" w:eastAsia="Google Sans" w:hAnsi="Google Sans" w:cs="Google Sans"/>
          <w:b/>
          <w:bCs/>
          <w:color w:val="1F1F1F"/>
        </w:rPr>
        <w:t>页式管理</w:t>
      </w:r>
      <w:r>
        <w:rPr>
          <w:rFonts w:ascii="Google Sans" w:eastAsia="Google Sans" w:hAnsi="Google Sans" w:cs="Google Sans"/>
          <w:color w:val="1F1F1F"/>
        </w:rPr>
        <w:t xml:space="preserve"> 核心，如何通过逻辑地址中的虚页号（VPN）检索页表（Page Table）和快表（TLB）转换成物理页号（PPN），实现逻辑地址向物理地址的硬件转换。</w:t>
      </w:r>
    </w:p>
    <w:p w14:paraId="00000042" w14:textId="77777777" w:rsidR="00C42A52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磁表面存储器技术指标：</w:t>
      </w:r>
      <w:r>
        <w:rPr>
          <w:rFonts w:ascii="Google Sans" w:eastAsia="Google Sans" w:hAnsi="Google Sans" w:cs="Google Sans"/>
          <w:b/>
          <w:bCs/>
          <w:color w:val="1F1F1F"/>
        </w:rPr>
        <w:t>存储密度、存储容量、寻址时间（寻找时间+等待时间）、数据传输率</w:t>
      </w:r>
      <w:r>
        <w:rPr>
          <w:rFonts w:ascii="Google Sans" w:eastAsia="Google Sans" w:hAnsi="Google Sans" w:cs="Google Sans"/>
          <w:color w:val="1F1F1F"/>
        </w:rPr>
        <w:t xml:space="preserve"> 的综合计算。</w:t>
      </w:r>
    </w:p>
    <w:p w14:paraId="00000043" w14:textId="77777777" w:rsidR="00C42A52" w:rsidRDefault="00000000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🛑 划重点：可以跳过的次要内容</w:t>
      </w:r>
    </w:p>
    <w:p w14:paraId="00000044" w14:textId="77777777" w:rsidR="00C42A5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历史过渡期使用的磁芯存储器、磁鼓存储器的落后物理结构及材料细节介绍页。</w:t>
      </w:r>
    </w:p>
    <w:p w14:paraId="00000045" w14:textId="77777777" w:rsidR="00C42A5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现代特定商业内存（如 DDR4/DDR5）极其繁琐的引脚电气特性波形图、特定厂家的具体初始化命令字表格。</w:t>
      </w:r>
    </w:p>
    <w:p w14:paraId="00000046" w14:textId="77777777" w:rsidR="00C42A52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📜 第 5 章 - 指令系统</w:t>
      </w:r>
    </w:p>
    <w:p w14:paraId="00000047" w14:textId="77777777" w:rsidR="00C42A5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对齐范围：</w:t>
      </w:r>
      <w:r>
        <w:rPr>
          <w:rFonts w:ascii="Google Sans" w:eastAsia="Google Sans" w:hAnsi="Google Sans" w:cs="Google Sans"/>
          <w:color w:val="1F1F1F"/>
        </w:rPr>
        <w:t xml:space="preserve"> 指令格式优化、操作数寻址规则、MIPS（R/I/J）型指令编码。</w:t>
      </w:r>
    </w:p>
    <w:p w14:paraId="00000048" w14:textId="77777777" w:rsidR="00C42A52" w:rsidRDefault="00000000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重点复习内容（核心考点）</w:t>
      </w:r>
    </w:p>
    <w:p w14:paraId="00000049" w14:textId="77777777" w:rsidR="00C42A5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课件第一部分（设计理论）：</w:t>
      </w:r>
    </w:p>
    <w:p w14:paraId="0000004A" w14:textId="77777777" w:rsidR="00C42A52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RISC 与 CISC</w:t>
      </w:r>
      <w:r>
        <w:rPr>
          <w:rFonts w:ascii="Google Sans" w:eastAsia="Google Sans" w:hAnsi="Google Sans" w:cs="Google Sans"/>
          <w:color w:val="1F1F1F"/>
        </w:rPr>
        <w:t xml:space="preserve"> 两种指令集计算机的核心特点、优点与哲学差异对比表。</w:t>
      </w:r>
    </w:p>
    <w:p w14:paraId="0000004B" w14:textId="77777777" w:rsidR="00C42A52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指令格式优化：操作码字段与地址码字段设计，重点掌握</w:t>
      </w:r>
      <w:r>
        <w:rPr>
          <w:rFonts w:ascii="Google Sans" w:eastAsia="Google Sans" w:hAnsi="Google Sans" w:cs="Google Sans"/>
          <w:b/>
          <w:bCs/>
          <w:color w:val="1F1F1F"/>
        </w:rPr>
        <w:t>扩展操作码（Expanding Opcode）</w:t>
      </w:r>
      <w:r>
        <w:rPr>
          <w:rFonts w:ascii="Google Sans" w:eastAsia="Google Sans" w:hAnsi="Google Sans" w:cs="Google Sans"/>
          <w:color w:val="1F1F1F"/>
        </w:rPr>
        <w:t xml:space="preserve"> 的编码规则与前缀留白最大指令条数计算。</w:t>
      </w:r>
    </w:p>
    <w:p w14:paraId="0000004C" w14:textId="77777777" w:rsidR="00C42A52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指令存放的边界对齐机制（Alignment）：</w:t>
      </w:r>
      <w:r>
        <w:rPr>
          <w:rFonts w:ascii="Google Sans" w:eastAsia="Google Sans" w:hAnsi="Google Sans" w:cs="Google Sans"/>
          <w:color w:val="1F1F1F"/>
        </w:rPr>
        <w:t xml:space="preserve"> 理解大端（Big-Endian）与小端（Little-Endian）存储，以及不对齐访存导致的额外周期开销。</w:t>
      </w:r>
    </w:p>
    <w:p w14:paraId="0000004D" w14:textId="77777777" w:rsidR="00C42A5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课件第二部分（寻址方式 - 核心）：</w:t>
      </w:r>
    </w:p>
    <w:p w14:paraId="0000004E" w14:textId="77777777" w:rsidR="00C42A52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掌握操作数各种寻址规则的有效地址（EA）形成流程及</w:t>
      </w:r>
      <w:r>
        <w:rPr>
          <w:rFonts w:ascii="Google Sans" w:eastAsia="Google Sans" w:hAnsi="Google Sans" w:cs="Google Sans"/>
          <w:b/>
          <w:bCs/>
          <w:color w:val="1F1F1F"/>
        </w:rPr>
        <w:t>访存次数</w:t>
      </w:r>
      <w:r>
        <w:rPr>
          <w:rFonts w:ascii="Google Sans" w:eastAsia="Google Sans" w:hAnsi="Google Sans" w:cs="Google Sans"/>
          <w:color w:val="1F1F1F"/>
        </w:rPr>
        <w:t>：立即寻址、直接寻址、间接寻址（寄存器间接/存储器间接）、寄存器寻址、变址寻址、基址寻址、相对寻址（PC相对寻址）。</w:t>
      </w:r>
    </w:p>
    <w:p w14:paraId="0000004F" w14:textId="77777777" w:rsidR="00C42A5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课件第三部分（MIPS 指令精解）：</w:t>
      </w:r>
    </w:p>
    <w:p w14:paraId="00000050" w14:textId="77777777" w:rsidR="00C42A52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 型（寄存器型）、I 型（立即数型）、J 型（跳转型）</w:t>
      </w:r>
      <w:r>
        <w:rPr>
          <w:rFonts w:ascii="Google Sans" w:eastAsia="Google Sans" w:hAnsi="Google Sans" w:cs="Google Sans"/>
          <w:color w:val="1F1F1F"/>
        </w:rPr>
        <w:t xml:space="preserve"> 指令的精确字段拆解（如 R 型的 op, rs, rt, rd, shamt, funct），并能根据机器码反推寻址规则。</w:t>
      </w:r>
    </w:p>
    <w:p w14:paraId="00000051" w14:textId="77777777" w:rsidR="00C42A52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高级语言向汇编/机器语言的翻译与级联编译流程。</w:t>
      </w:r>
    </w:p>
    <w:p w14:paraId="00000052" w14:textId="77777777" w:rsidR="00C42A52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现场保护机制：子程序调用与返回时利用堆栈（Stack）保护现场的基本逻辑。</w:t>
      </w:r>
    </w:p>
    <w:p w14:paraId="00000053" w14:textId="77777777" w:rsidR="00C42A52" w:rsidRDefault="00000000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🛑 划重点：可以跳过的次要内容</w:t>
      </w:r>
    </w:p>
    <w:p w14:paraId="00000054" w14:textId="77777777" w:rsidR="00C42A5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x86 架构中极其繁琐的 16 位实模式到 32 位/64 位保护模式切换、复杂的段描述符描述表、多重特权级（Ring 0 - Ring 3）等操作系统偏向的微观硬件死板条文。</w:t>
      </w:r>
    </w:p>
    <w:p w14:paraId="00000055" w14:textId="77777777" w:rsidR="00C42A52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🚀 第 6 章 - 中央处理部件（CPU）</w:t>
      </w:r>
    </w:p>
    <w:p w14:paraId="00000056" w14:textId="77777777" w:rsidR="00C42A5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对齐范围：</w:t>
      </w:r>
      <w:r>
        <w:rPr>
          <w:rFonts w:ascii="Google Sans" w:eastAsia="Google Sans" w:hAnsi="Google Sans" w:cs="Google Sans"/>
          <w:color w:val="1F1F1F"/>
        </w:rPr>
        <w:t xml:space="preserve"> 数据通路流动、状态机时序控制、组合逻辑/微程序控制器设计、MIPS 流水（</w:t>
      </w:r>
      <w:r>
        <w:rPr>
          <w:rFonts w:ascii="Google Sans" w:eastAsia="Google Sans" w:hAnsi="Google Sans" w:cs="Google Sans"/>
          <w:b/>
          <w:bCs/>
          <w:color w:val="1F1F1F"/>
        </w:rPr>
        <w:t>CPU 综合大题绝对核心</w:t>
      </w:r>
      <w:r>
        <w:rPr>
          <w:rFonts w:ascii="Google Sans" w:eastAsia="Google Sans" w:hAnsi="Google Sans" w:cs="Google Sans"/>
          <w:color w:val="1F1F1F"/>
        </w:rPr>
        <w:t>）。</w:t>
      </w:r>
    </w:p>
    <w:p w14:paraId="00000057" w14:textId="77777777" w:rsidR="00C42A52" w:rsidRDefault="00000000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重点复习内容（核心考点）</w:t>
      </w:r>
    </w:p>
    <w:p w14:paraId="00000058" w14:textId="77777777" w:rsidR="00C42A5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课件前段（结构与数据通路）：</w:t>
      </w:r>
    </w:p>
    <w:p w14:paraId="00000059" w14:textId="77777777" w:rsidR="00C42A52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CPU 的基本组成部件：运算器（ALU、暂存器、PSW）与控制器（PC、IR、MAR、MDR）。</w:t>
      </w:r>
    </w:p>
    <w:p w14:paraId="0000005A" w14:textId="77777777" w:rsidR="00C42A52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内部总线数据通路：</w:t>
      </w:r>
      <w:r>
        <w:rPr>
          <w:rFonts w:ascii="Google Sans" w:eastAsia="Google Sans" w:hAnsi="Google Sans" w:cs="Google Sans"/>
          <w:color w:val="1F1F1F"/>
        </w:rPr>
        <w:t xml:space="preserve"> 单公共总线、双总线、多总线、专用通路架构。必须能够根据给定的单总线或双总线拓扑图，写出一条指令在不同时钟周期（$T_1, T_2 \dots$）内的 </w:t>
      </w:r>
      <w:r>
        <w:rPr>
          <w:rFonts w:ascii="Google Sans" w:eastAsia="Google Sans" w:hAnsi="Google Sans" w:cs="Google Sans"/>
          <w:b/>
          <w:bCs/>
          <w:color w:val="1F1F1F"/>
        </w:rPr>
        <w:t>微操作控制信号序列（如 $PC_\text{out}, MAR_\text{in}, \text{Read}$）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000005B" w14:textId="77777777" w:rsidR="00C42A5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课件中段（时序与控制器设计）：</w:t>
      </w:r>
    </w:p>
    <w:p w14:paraId="0000005C" w14:textId="77777777" w:rsidR="00C42A52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传统三级时序系统（工作周期、时钟节拍、脉冲）与状态机控制。</w:t>
      </w:r>
    </w:p>
    <w:p w14:paraId="0000005D" w14:textId="77777777" w:rsidR="00C42A52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控制器两大设计方法：</w:t>
      </w:r>
    </w:p>
    <w:p w14:paraId="0000005E" w14:textId="77777777" w:rsidR="00C42A52" w:rsidRDefault="00000000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组合逻辑（硬布线）控制器：</w:t>
      </w:r>
      <w:r>
        <w:rPr>
          <w:rFonts w:ascii="Google Sans" w:eastAsia="Google Sans" w:hAnsi="Google Sans" w:cs="Google Sans"/>
          <w:color w:val="1F1F1F"/>
        </w:rPr>
        <w:t xml:space="preserve"> 掌握通过“机器指令 $\times$ 时序节拍 $\times$ 状态条件”推导控制信号逻辑表达式的方法。</w:t>
      </w:r>
    </w:p>
    <w:p w14:paraId="0000005F" w14:textId="77777777" w:rsidR="00C42A52" w:rsidRDefault="00000000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微程序控制器：</w:t>
      </w:r>
      <w:r>
        <w:rPr>
          <w:rFonts w:ascii="Google Sans" w:eastAsia="Google Sans" w:hAnsi="Google Sans" w:cs="Google Sans"/>
          <w:color w:val="1F1F1F"/>
        </w:rPr>
        <w:t xml:space="preserve"> 控制存储器（CM）、微指令、微程序的基本概念；</w:t>
      </w:r>
      <w:r>
        <w:rPr>
          <w:rFonts w:ascii="Google Sans" w:eastAsia="Google Sans" w:hAnsi="Google Sans" w:cs="Google Sans"/>
          <w:b/>
          <w:bCs/>
          <w:color w:val="1F1F1F"/>
        </w:rPr>
        <w:t>水平型微指令（直接编码、字段直接译码法、字段间接译码法）</w:t>
      </w:r>
      <w:r>
        <w:rPr>
          <w:rFonts w:ascii="Google Sans" w:eastAsia="Google Sans" w:hAnsi="Google Sans" w:cs="Google Sans"/>
          <w:color w:val="1F1F1F"/>
        </w:rPr>
        <w:t xml:space="preserve"> 与垂直型微指令的结构、字长、速度与灵活性优缺点对比。</w:t>
      </w:r>
    </w:p>
    <w:p w14:paraId="00000060" w14:textId="77777777" w:rsidR="00C42A5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课件后半部分（指令设计实现）：</w:t>
      </w:r>
    </w:p>
    <w:p w14:paraId="00000061" w14:textId="77777777" w:rsidR="00C42A52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几条基本 MIPS 指令（如 ADD, SUB, LW, SW, BEQ）在</w:t>
      </w:r>
      <w:r>
        <w:rPr>
          <w:rFonts w:ascii="Google Sans" w:eastAsia="Google Sans" w:hAnsi="Google Sans" w:cs="Google Sans"/>
          <w:b/>
          <w:bCs/>
          <w:color w:val="1F1F1F"/>
        </w:rPr>
        <w:t>单周期 CPU</w:t>
      </w:r>
      <w:r>
        <w:rPr>
          <w:rFonts w:ascii="Google Sans" w:eastAsia="Google Sans" w:hAnsi="Google Sans" w:cs="Google Sans"/>
          <w:color w:val="1F1F1F"/>
        </w:rPr>
        <w:t xml:space="preserve"> 和</w:t>
      </w:r>
      <w:r>
        <w:rPr>
          <w:rFonts w:ascii="Google Sans" w:eastAsia="Google Sans" w:hAnsi="Google Sans" w:cs="Google Sans"/>
          <w:b/>
          <w:bCs/>
          <w:color w:val="1F1F1F"/>
        </w:rPr>
        <w:t>多周期 CPU</w:t>
      </w:r>
      <w:r>
        <w:rPr>
          <w:rFonts w:ascii="Google Sans" w:eastAsia="Google Sans" w:hAnsi="Google Sans" w:cs="Google Sans"/>
          <w:color w:val="1F1F1F"/>
        </w:rPr>
        <w:t xml:space="preserve"> 架构下的完整数据通路流程及控制信号动态拉高拉低使能。</w:t>
      </w:r>
    </w:p>
    <w:p w14:paraId="00000062" w14:textId="77777777" w:rsidR="00C42A52" w:rsidRDefault="00000000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🛑 划重点：可以跳过的次要内容</w:t>
      </w:r>
    </w:p>
    <w:p w14:paraId="00000063" w14:textId="77777777" w:rsidR="00C42A5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>现代商业高端处理器（如 Intel Core / AMD Ryzen / ARM Cortex 高端系列）内部专属的、多发射乱序执行（Out-of-Order Execution）动态分支预测树极其浩大的拓扑连线图（期末考查停留在基础标量单周期/多周期/硬布线/微程序）。</w:t>
      </w:r>
    </w:p>
    <w:p w14:paraId="00000064" w14:textId="77777777" w:rsidR="00C42A52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⎋ 第 7 章 - 输入输出系统（含总线系统）</w:t>
      </w:r>
    </w:p>
    <w:p w14:paraId="00000065" w14:textId="77777777" w:rsidR="00C42A5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对齐范围：</w:t>
      </w:r>
      <w:r>
        <w:rPr>
          <w:rFonts w:ascii="Google Sans" w:eastAsia="Google Sans" w:hAnsi="Google Sans" w:cs="Google Sans"/>
          <w:color w:val="1F1F1F"/>
        </w:rPr>
        <w:t xml:space="preserve"> 总线带宽计算、全互锁异步定时、集中式仲裁线数、程序中断全过程、DMA 机制。</w:t>
      </w:r>
    </w:p>
    <w:p w14:paraId="00000066" w14:textId="77777777" w:rsidR="00C42A52" w:rsidRDefault="00000000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重点复习内容（核心考点）</w:t>
      </w:r>
    </w:p>
    <w:p w14:paraId="00000067" w14:textId="77777777" w:rsidR="00C42A5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总线系统部分：</w:t>
      </w:r>
    </w:p>
    <w:p w14:paraId="00000068" w14:textId="77777777" w:rsidR="00C42A52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总线分类（片内总线、系统总线、通信总线）及核心性能指标计算：</w:t>
      </w:r>
      <w:r>
        <w:rPr>
          <w:rFonts w:ascii="Google Sans" w:eastAsia="Google Sans" w:hAnsi="Google Sans" w:cs="Google Sans"/>
          <w:b/>
          <w:bCs/>
          <w:color w:val="1F1F1F"/>
        </w:rPr>
        <w:t>总线工作频率、总线宽度、总线带宽（数据传输率）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0000069" w14:textId="77777777" w:rsidR="00C42A52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总线时序协议：同步定时协议；</w:t>
      </w:r>
      <w:r>
        <w:rPr>
          <w:rFonts w:ascii="Google Sans" w:eastAsia="Google Sans" w:hAnsi="Google Sans" w:cs="Google Sans"/>
          <w:b/>
          <w:bCs/>
          <w:color w:val="1F1F1F"/>
        </w:rPr>
        <w:t>异步定时协议（不互锁、半互锁、全互锁的因果交互机制与握手波形图）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000006A" w14:textId="77777777" w:rsidR="00C42A52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总线仲裁（判优）：集中式仲裁的三种硬件连接方式——</w:t>
      </w:r>
      <w:r>
        <w:rPr>
          <w:rFonts w:ascii="Google Sans" w:eastAsia="Google Sans" w:hAnsi="Google Sans" w:cs="Google Sans"/>
          <w:b/>
          <w:bCs/>
          <w:color w:val="1F1F1F"/>
        </w:rPr>
        <w:t>链式查询（只需3根线，对故障敏感）</w:t>
      </w:r>
      <w:r>
        <w:rPr>
          <w:rFonts w:ascii="Google Sans" w:eastAsia="Google Sans" w:hAnsi="Google Sans" w:cs="Google Sans"/>
          <w:color w:val="1F1F1F"/>
        </w:rPr>
        <w:t>、计数器定时查询、独立请求方式（线数最多 $2N$，最灵活）的控制线数量与优先级配置。</w:t>
      </w:r>
    </w:p>
    <w:p w14:paraId="0000006B" w14:textId="77777777" w:rsidR="00C42A5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输入/输出系统部分：</w:t>
      </w:r>
    </w:p>
    <w:p w14:paraId="0000006C" w14:textId="77777777" w:rsidR="00C42A52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I/O 端口的编址方式：</w:t>
      </w:r>
      <w:r>
        <w:rPr>
          <w:rFonts w:ascii="Google Sans" w:eastAsia="Google Sans" w:hAnsi="Google Sans" w:cs="Google Sans"/>
          <w:b/>
          <w:bCs/>
          <w:color w:val="1F1F1F"/>
        </w:rPr>
        <w:t>独立编址（有专用I/O指令如 IN/OUT）</w:t>
      </w:r>
      <w:r>
        <w:rPr>
          <w:rFonts w:ascii="Google Sans" w:eastAsia="Google Sans" w:hAnsi="Google Sans" w:cs="Google Sans"/>
          <w:color w:val="1F1F1F"/>
        </w:rPr>
        <w:t xml:space="preserve"> 与 </w:t>
      </w:r>
      <w:r>
        <w:rPr>
          <w:rFonts w:ascii="Google Sans" w:eastAsia="Google Sans" w:hAnsi="Google Sans" w:cs="Google Sans"/>
          <w:b/>
          <w:bCs/>
          <w:color w:val="1F1F1F"/>
        </w:rPr>
        <w:t>统一编址/内存映射编址（复用内存访存指令，不占指令独立空间）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000006D" w14:textId="77777777" w:rsidR="00C42A52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三大 I/O 控制方式演进与对比：程序查询方式、</w:t>
      </w:r>
      <w:r>
        <w:rPr>
          <w:rFonts w:ascii="Google Sans" w:eastAsia="Google Sans" w:hAnsi="Google Sans" w:cs="Google Sans"/>
          <w:b/>
          <w:bCs/>
          <w:color w:val="1F1F1F"/>
        </w:rPr>
        <w:t>程序中断方式（最核心）</w:t>
      </w:r>
      <w:r>
        <w:rPr>
          <w:rFonts w:ascii="Google Sans" w:eastAsia="Google Sans" w:hAnsi="Google Sans" w:cs="Google Sans"/>
          <w:color w:val="1F1F1F"/>
        </w:rPr>
        <w:t>、</w:t>
      </w:r>
      <w:r>
        <w:rPr>
          <w:rFonts w:ascii="Google Sans" w:eastAsia="Google Sans" w:hAnsi="Google Sans" w:cs="Google Sans"/>
          <w:b/>
          <w:bCs/>
          <w:color w:val="1F1F1F"/>
        </w:rPr>
        <w:t>DMA 方式（高速成批数据）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000006E" w14:textId="77777777" w:rsidR="00C42A52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程序中断控制（核心重中之重）：</w:t>
      </w:r>
    </w:p>
    <w:p w14:paraId="0000006F" w14:textId="77777777" w:rsidR="00C42A52" w:rsidRDefault="00000000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中断处理全过程：</w:t>
      </w:r>
      <w:r>
        <w:rPr>
          <w:rFonts w:ascii="Google Sans" w:eastAsia="Google Sans" w:hAnsi="Google Sans" w:cs="Google Sans"/>
          <w:b/>
          <w:bCs/>
          <w:color w:val="1F1F1F"/>
        </w:rPr>
        <w:t>硬件隐指令阶段</w:t>
      </w:r>
      <w:r>
        <w:rPr>
          <w:rFonts w:ascii="Google Sans" w:eastAsia="Google Sans" w:hAnsi="Google Sans" w:cs="Google Sans"/>
          <w:color w:val="1F1F1F"/>
        </w:rPr>
        <w:t xml:space="preserve">（关中断、保护断点、引出入口地址）与 </w:t>
      </w:r>
      <w:r>
        <w:rPr>
          <w:rFonts w:ascii="Google Sans" w:eastAsia="Google Sans" w:hAnsi="Google Sans" w:cs="Google Sans"/>
          <w:b/>
          <w:bCs/>
          <w:color w:val="1F1F1F"/>
        </w:rPr>
        <w:t>中断服务程序软件阶段</w:t>
      </w:r>
      <w:r>
        <w:rPr>
          <w:rFonts w:ascii="Google Sans" w:eastAsia="Google Sans" w:hAnsi="Google Sans" w:cs="Google Sans"/>
          <w:color w:val="1F1F1F"/>
        </w:rPr>
        <w:t>（保护现场、执行服务主体、恢复现场、开中断、中断返回 RETI）。</w:t>
      </w:r>
    </w:p>
    <w:p w14:paraId="00000070" w14:textId="77777777" w:rsidR="00C42A52" w:rsidRDefault="00000000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中断嵌套：</w:t>
      </w:r>
      <w:r>
        <w:rPr>
          <w:rFonts w:ascii="Google Sans" w:eastAsia="Google Sans" w:hAnsi="Google Sans" w:cs="Google Sans"/>
          <w:b/>
          <w:bCs/>
          <w:color w:val="1F1F1F"/>
        </w:rPr>
        <w:t>中断屏蔽字寄存器（IMR）</w:t>
      </w:r>
      <w:r>
        <w:rPr>
          <w:rFonts w:ascii="Google Sans" w:eastAsia="Google Sans" w:hAnsi="Google Sans" w:cs="Google Sans"/>
          <w:color w:val="1F1F1F"/>
        </w:rPr>
        <w:t xml:space="preserve"> 的作用，如何通过动态修改屏蔽字改变实际的中断处理优先级。</w:t>
      </w:r>
    </w:p>
    <w:p w14:paraId="00000071" w14:textId="77777777" w:rsidR="00C42A52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DMA 方式：</w:t>
      </w:r>
      <w:r>
        <w:rPr>
          <w:rFonts w:ascii="Google Sans" w:eastAsia="Google Sans" w:hAnsi="Google Sans" w:cs="Google Sans"/>
          <w:color w:val="1F1F1F"/>
        </w:rPr>
        <w:t xml:space="preserve"> DMA 控制器的组成（AR、WC、DAR、BR）；DMA 传送的三个阶段（预处理、数据传送、后处理）；DMA 与 CPU 抢占主存储器控制权的三种硬件调度模式：</w:t>
      </w:r>
      <w:r>
        <w:rPr>
          <w:rFonts w:ascii="Google Sans" w:eastAsia="Google Sans" w:hAnsi="Google Sans" w:cs="Google Sans"/>
          <w:b/>
          <w:bCs/>
          <w:color w:val="1F1F1F"/>
        </w:rPr>
        <w:t>停止CPU访存</w:t>
      </w:r>
      <w:r>
        <w:rPr>
          <w:rFonts w:ascii="Google Sans" w:eastAsia="Google Sans" w:hAnsi="Google Sans" w:cs="Google Sans"/>
          <w:color w:val="1F1F1F"/>
        </w:rPr>
        <w:t>、</w:t>
      </w:r>
      <w:r>
        <w:rPr>
          <w:rFonts w:ascii="Google Sans" w:eastAsia="Google Sans" w:hAnsi="Google Sans" w:cs="Google Sans"/>
          <w:b/>
          <w:bCs/>
          <w:color w:val="1F1F1F"/>
        </w:rPr>
        <w:t>周期挪用/周期窃取（挪用一个存取周期）</w:t>
      </w:r>
      <w:r>
        <w:rPr>
          <w:rFonts w:ascii="Google Sans" w:eastAsia="Google Sans" w:hAnsi="Google Sans" w:cs="Google Sans"/>
          <w:color w:val="1F1F1F"/>
        </w:rPr>
        <w:t>、</w:t>
      </w:r>
      <w:r>
        <w:rPr>
          <w:rFonts w:ascii="Google Sans" w:eastAsia="Google Sans" w:hAnsi="Google Sans" w:cs="Google Sans"/>
          <w:b/>
          <w:bCs/>
          <w:color w:val="1F1F1F"/>
        </w:rPr>
        <w:t>交替访存（分时复用，对CPU效率零干扰）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0000072" w14:textId="77777777" w:rsidR="00C42A52" w:rsidRDefault="00000000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🛑 划重点：可以跳过的次要内容</w:t>
      </w:r>
    </w:p>
    <w:p w14:paraId="00000073" w14:textId="77777777" w:rsidR="00C42A5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课件中陈旧外设（如老式针式打印机、阴极射线管 CRT 显示器、光驱）内部极其复杂的机电一体化机械构造、特定马达驱动电气波形细节页。</w:t>
      </w:r>
    </w:p>
    <w:p w14:paraId="00000074" w14:textId="77777777" w:rsidR="00C42A5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USB 3.0/PCIe 5.0 规范中长达百页的软件协议栈、特定网络握手包结构、底层物理层特定编码（如 128b/130b 编码）的死记硬背条文页。</w:t>
      </w:r>
    </w:p>
    <w:p w14:paraId="00000075" w14:textId="77777777" w:rsidR="00C42A5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💡 </w:t>
      </w:r>
      <w:r>
        <w:rPr>
          <w:rFonts w:ascii="Google Sans" w:eastAsia="Google Sans" w:hAnsi="Google Sans" w:cs="Google Sans"/>
          <w:b/>
          <w:bCs/>
          <w:color w:val="1F1F1F"/>
        </w:rPr>
        <w:t>期末通关小贴士：</w:t>
      </w:r>
    </w:p>
    <w:p w14:paraId="00000076" w14:textId="77777777" w:rsidR="00C42A5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同济这门课的统考大题，必然是一道</w:t>
      </w:r>
      <w:r>
        <w:rPr>
          <w:rFonts w:ascii="Google Sans" w:eastAsia="Google Sans" w:hAnsi="Google Sans" w:cs="Google Sans"/>
          <w:b/>
          <w:bCs/>
          <w:color w:val="1F1F1F"/>
        </w:rPr>
        <w:t>存储系统综合题</w:t>
      </w:r>
      <w:r>
        <w:rPr>
          <w:rFonts w:ascii="Google Sans" w:eastAsia="Google Sans" w:hAnsi="Google Sans" w:cs="Google Sans"/>
          <w:color w:val="1F1F1F"/>
        </w:rPr>
        <w:t xml:space="preserve">（计算地址段划分、画 138 译码器选片连线、算 Cache 命中率与 AMAT），加上一道 </w:t>
      </w:r>
      <w:r>
        <w:rPr>
          <w:rFonts w:ascii="Google Sans" w:eastAsia="Google Sans" w:hAnsi="Google Sans" w:cs="Google Sans"/>
          <w:b/>
          <w:bCs/>
          <w:color w:val="1F1F1F"/>
        </w:rPr>
        <w:t>CPU 数据通路题</w:t>
      </w:r>
      <w:r>
        <w:rPr>
          <w:rFonts w:ascii="Google Sans" w:eastAsia="Google Sans" w:hAnsi="Google Sans" w:cs="Google Sans"/>
          <w:color w:val="1F1F1F"/>
        </w:rPr>
        <w:t xml:space="preserve">（看着单/双总线图写时钟周期的微操作控制信号）。运算器部分必出一个 </w:t>
      </w:r>
      <w:r>
        <w:rPr>
          <w:rFonts w:ascii="Google Sans" w:eastAsia="Google Sans" w:hAnsi="Google Sans" w:cs="Google Sans"/>
          <w:b/>
          <w:bCs/>
          <w:color w:val="1F1F1F"/>
        </w:rPr>
        <w:t>Booth 补码一位乘法或浮点数加减</w:t>
      </w:r>
      <w:r>
        <w:rPr>
          <w:rFonts w:ascii="Google Sans" w:eastAsia="Google Sans" w:hAnsi="Google Sans" w:cs="Google Sans"/>
          <w:color w:val="1F1F1F"/>
        </w:rPr>
        <w:t xml:space="preserve"> 的大计算。把这三个</w:t>
      </w:r>
      <w:r>
        <w:rPr>
          <w:rFonts w:ascii="Google Sans" w:eastAsia="Google Sans" w:hAnsi="Google Sans" w:cs="Google Sans"/>
          <w:color w:val="1F1F1F"/>
        </w:rPr>
        <w:lastRenderedPageBreak/>
        <w:t>硬核彻底吃透，期末高分稳稳到手！加油！</w:t>
      </w:r>
    </w:p>
    <w:sectPr w:rsidR="00C42A5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CE8D321-C7F6-446B-BC55-FED52E33A086}"/>
  </w:font>
  <w:font w:name="Google Sans">
    <w:charset w:val="00"/>
    <w:family w:val="auto"/>
    <w:pitch w:val="default"/>
    <w:embedRegular r:id="rId2" w:fontKey="{2251F481-0A16-4758-8AAC-7FB20A058E73}"/>
    <w:embedBold r:id="rId3" w:fontKey="{3D4AC01D-3A99-42CA-A224-558F03E6C0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C9E8323-19F2-444E-ADF4-F15ABD5A29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C7CF55F-A093-4D0F-BE7C-B5BA2CFD8F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23F5"/>
    <w:multiLevelType w:val="multilevel"/>
    <w:tmpl w:val="731453D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EE6C2F"/>
    <w:multiLevelType w:val="multilevel"/>
    <w:tmpl w:val="236AF79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A796C08"/>
    <w:multiLevelType w:val="multilevel"/>
    <w:tmpl w:val="849486A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B2A6B2B"/>
    <w:multiLevelType w:val="multilevel"/>
    <w:tmpl w:val="34785AB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2976B53"/>
    <w:multiLevelType w:val="multilevel"/>
    <w:tmpl w:val="1D000F5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4DE372B"/>
    <w:multiLevelType w:val="multilevel"/>
    <w:tmpl w:val="638A26A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8424764"/>
    <w:multiLevelType w:val="multilevel"/>
    <w:tmpl w:val="F93AB19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8896A19"/>
    <w:multiLevelType w:val="multilevel"/>
    <w:tmpl w:val="2514ED1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AA96ECE"/>
    <w:multiLevelType w:val="multilevel"/>
    <w:tmpl w:val="4872B1C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EDF1AF1"/>
    <w:multiLevelType w:val="multilevel"/>
    <w:tmpl w:val="AA30A89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F134C7D"/>
    <w:multiLevelType w:val="multilevel"/>
    <w:tmpl w:val="50EE2CE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0CF51AF"/>
    <w:multiLevelType w:val="multilevel"/>
    <w:tmpl w:val="EC6A2B4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49117D5"/>
    <w:multiLevelType w:val="multilevel"/>
    <w:tmpl w:val="1112238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6611ECA"/>
    <w:multiLevelType w:val="multilevel"/>
    <w:tmpl w:val="CC32453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2B4649D7"/>
    <w:multiLevelType w:val="multilevel"/>
    <w:tmpl w:val="FBC8BCA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0137542"/>
    <w:multiLevelType w:val="multilevel"/>
    <w:tmpl w:val="68805AF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6732A93"/>
    <w:multiLevelType w:val="multilevel"/>
    <w:tmpl w:val="EEAE228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3CA54B8E"/>
    <w:multiLevelType w:val="multilevel"/>
    <w:tmpl w:val="7110ED0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43862128"/>
    <w:multiLevelType w:val="multilevel"/>
    <w:tmpl w:val="4338220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455F0952"/>
    <w:multiLevelType w:val="multilevel"/>
    <w:tmpl w:val="740EE17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48314E2E"/>
    <w:multiLevelType w:val="multilevel"/>
    <w:tmpl w:val="EACC45C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51946B79"/>
    <w:multiLevelType w:val="multilevel"/>
    <w:tmpl w:val="B25CFD0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57C84DFA"/>
    <w:multiLevelType w:val="multilevel"/>
    <w:tmpl w:val="521ED82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58044B28"/>
    <w:multiLevelType w:val="multilevel"/>
    <w:tmpl w:val="1BD2D01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590D1F73"/>
    <w:multiLevelType w:val="multilevel"/>
    <w:tmpl w:val="90CA0F3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594327FD"/>
    <w:multiLevelType w:val="multilevel"/>
    <w:tmpl w:val="C3D8B43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5CBD010E"/>
    <w:multiLevelType w:val="multilevel"/>
    <w:tmpl w:val="45D0CFC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5DAD76D7"/>
    <w:multiLevelType w:val="multilevel"/>
    <w:tmpl w:val="D2AA6C6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6155414D"/>
    <w:multiLevelType w:val="multilevel"/>
    <w:tmpl w:val="E16C736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62A40483"/>
    <w:multiLevelType w:val="multilevel"/>
    <w:tmpl w:val="A36AB87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64F723F8"/>
    <w:multiLevelType w:val="multilevel"/>
    <w:tmpl w:val="3C7CEB3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65412D4F"/>
    <w:multiLevelType w:val="multilevel"/>
    <w:tmpl w:val="DB9C9ED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68BD77D1"/>
    <w:multiLevelType w:val="multilevel"/>
    <w:tmpl w:val="983CB62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693848F3"/>
    <w:multiLevelType w:val="multilevel"/>
    <w:tmpl w:val="CBD8AFD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6D7B53EA"/>
    <w:multiLevelType w:val="multilevel"/>
    <w:tmpl w:val="7D86DD3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6DC316B7"/>
    <w:multiLevelType w:val="multilevel"/>
    <w:tmpl w:val="1B2EF4D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729B7755"/>
    <w:multiLevelType w:val="multilevel"/>
    <w:tmpl w:val="7122B25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7C5F1E4A"/>
    <w:multiLevelType w:val="multilevel"/>
    <w:tmpl w:val="66AE921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78608016">
    <w:abstractNumId w:val="34"/>
  </w:num>
  <w:num w:numId="2" w16cid:durableId="1393381189">
    <w:abstractNumId w:val="32"/>
  </w:num>
  <w:num w:numId="3" w16cid:durableId="733430837">
    <w:abstractNumId w:val="36"/>
  </w:num>
  <w:num w:numId="4" w16cid:durableId="209533679">
    <w:abstractNumId w:val="25"/>
  </w:num>
  <w:num w:numId="5" w16cid:durableId="419839352">
    <w:abstractNumId w:val="4"/>
  </w:num>
  <w:num w:numId="6" w16cid:durableId="45373945">
    <w:abstractNumId w:val="14"/>
  </w:num>
  <w:num w:numId="7" w16cid:durableId="545021390">
    <w:abstractNumId w:val="28"/>
  </w:num>
  <w:num w:numId="8" w16cid:durableId="822085177">
    <w:abstractNumId w:val="1"/>
  </w:num>
  <w:num w:numId="9" w16cid:durableId="1484076899">
    <w:abstractNumId w:val="10"/>
  </w:num>
  <w:num w:numId="10" w16cid:durableId="570390050">
    <w:abstractNumId w:val="24"/>
  </w:num>
  <w:num w:numId="11" w16cid:durableId="1062480993">
    <w:abstractNumId w:val="30"/>
  </w:num>
  <w:num w:numId="12" w16cid:durableId="1502501007">
    <w:abstractNumId w:val="17"/>
  </w:num>
  <w:num w:numId="13" w16cid:durableId="1525052163">
    <w:abstractNumId w:val="29"/>
  </w:num>
  <w:num w:numId="14" w16cid:durableId="1952203749">
    <w:abstractNumId w:val="20"/>
  </w:num>
  <w:num w:numId="15" w16cid:durableId="2100589711">
    <w:abstractNumId w:val="5"/>
  </w:num>
  <w:num w:numId="16" w16cid:durableId="1351838954">
    <w:abstractNumId w:val="13"/>
  </w:num>
  <w:num w:numId="17" w16cid:durableId="343288471">
    <w:abstractNumId w:val="35"/>
  </w:num>
  <w:num w:numId="18" w16cid:durableId="73749897">
    <w:abstractNumId w:val="8"/>
  </w:num>
  <w:num w:numId="19" w16cid:durableId="467826318">
    <w:abstractNumId w:val="15"/>
  </w:num>
  <w:num w:numId="20" w16cid:durableId="565265107">
    <w:abstractNumId w:val="22"/>
  </w:num>
  <w:num w:numId="21" w16cid:durableId="734474924">
    <w:abstractNumId w:val="19"/>
  </w:num>
  <w:num w:numId="22" w16cid:durableId="335807362">
    <w:abstractNumId w:val="23"/>
  </w:num>
  <w:num w:numId="23" w16cid:durableId="1916746216">
    <w:abstractNumId w:val="27"/>
  </w:num>
  <w:num w:numId="24" w16cid:durableId="1597636655">
    <w:abstractNumId w:val="11"/>
  </w:num>
  <w:num w:numId="25" w16cid:durableId="914317054">
    <w:abstractNumId w:val="26"/>
  </w:num>
  <w:num w:numId="26" w16cid:durableId="969629729">
    <w:abstractNumId w:val="3"/>
  </w:num>
  <w:num w:numId="27" w16cid:durableId="1286035207">
    <w:abstractNumId w:val="16"/>
  </w:num>
  <w:num w:numId="28" w16cid:durableId="881675831">
    <w:abstractNumId w:val="7"/>
  </w:num>
  <w:num w:numId="29" w16cid:durableId="1476869173">
    <w:abstractNumId w:val="12"/>
  </w:num>
  <w:num w:numId="30" w16cid:durableId="1966037130">
    <w:abstractNumId w:val="21"/>
  </w:num>
  <w:num w:numId="31" w16cid:durableId="160851369">
    <w:abstractNumId w:val="33"/>
  </w:num>
  <w:num w:numId="32" w16cid:durableId="1788888427">
    <w:abstractNumId w:val="31"/>
  </w:num>
  <w:num w:numId="33" w16cid:durableId="583997396">
    <w:abstractNumId w:val="0"/>
  </w:num>
  <w:num w:numId="34" w16cid:durableId="1384132009">
    <w:abstractNumId w:val="2"/>
  </w:num>
  <w:num w:numId="35" w16cid:durableId="2059236505">
    <w:abstractNumId w:val="37"/>
  </w:num>
  <w:num w:numId="36" w16cid:durableId="329721101">
    <w:abstractNumId w:val="9"/>
  </w:num>
  <w:num w:numId="37" w16cid:durableId="1122655344">
    <w:abstractNumId w:val="6"/>
  </w:num>
  <w:num w:numId="38" w16cid:durableId="2892129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A52"/>
    <w:rsid w:val="00116322"/>
    <w:rsid w:val="00C42A52"/>
    <w:rsid w:val="00F1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DA9D95E-1AD5-48A3-924F-8C3B4B8E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2482</Words>
  <Characters>2855</Characters>
  <Application>Microsoft Office Word</Application>
  <DocSecurity>0</DocSecurity>
  <Lines>101</Lines>
  <Paragraphs>124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凡</dc:creator>
  <cp:lastModifiedBy>凡 费</cp:lastModifiedBy>
  <cp:revision>2</cp:revision>
  <dcterms:created xsi:type="dcterms:W3CDTF">2026-06-19T08:27:00Z</dcterms:created>
  <dcterms:modified xsi:type="dcterms:W3CDTF">2026-06-19T08:27:00Z</dcterms:modified>
</cp:coreProperties>
</file>