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0"/>
          <w:szCs w:val="30"/>
        </w:rPr>
        <w:t xml:space="preserve">Facturación por contratista: qué perdemos y cómo resolverlo</w:t>
      </w:r>
    </w:p>
    <w:p>
      <w:pPr>
        <w:spacing w:after="40"/>
      </w:pPr>
      <w:r>
        <w:rPr>
          <w:i/>
          <w:iCs/>
          <w:color w:val="595959"/>
        </w:rPr>
        <w:t xml:space="preserve">Nota para Dirección  ·  Control económico de obra</w:t>
      </w:r>
    </w:p>
    <w:p>
      <w:pPr>
        <w:pBdr>
          <w:bottom w:val="single" w:color="BFBFBF" w:sz="6" w:space="6"/>
        </w:pBdr>
        <w:spacing w:after="200"/>
      </w:pPr>
      <w:r>
        <w:rPr>
          <w:i/>
          <w:iCs/>
          <w:color w:val="595959"/>
          <w:sz w:val="18"/>
          <w:szCs w:val="18"/>
        </w:rPr>
        <w:t xml:space="preserve">Versión 2 — 6 de septiembre de 2026. Incorpora la evidencia de un contrato de subcontrata real (anonimizado) que confirma que la Opción A es exigible, al menos para un gremio. La recomendación de fondo no cambia.</w:t>
      </w:r>
    </w:p>
    <w:p>
      <w:pPr>
        <w:spacing w:after="200"/>
      </w:pPr>
      <w:r>
        <w:rPr>
          <w:b/>
          <w:bCs/>
        </w:rPr>
        <w:t xml:space="preserve">Resumen. </w:t>
      </w:r>
      <w:r>
        <w:t xml:space="preserve">El contratista presupuesta y factura por toda la obra sin desglosar el trabajo, así que la factura no baja al detalle del presupuesto por nave. Podemos controlar el gasto con fiabilidad por contratista, pero no por nave ni por tarea salvo que cambiemos cómo pedimos las certificaciones. </w:t>
      </w:r>
      <w:r>
        <w:t xml:space="preserve">Un contrato real firmado con una subcontrata muestra que exigir ese desglose (Opción A) es viable, al menos para el gremio de electricidad — pero aún no hemos confirmado si se cumple también en la factura mensual real.</w:t>
      </w:r>
    </w:p>
    <w:p>
      <w:pPr>
        <w:spacing w:after="120" w:before="100"/>
      </w:pPr>
      <w:r>
        <w:rPr>
          <w:b/>
          <w:bCs/>
        </w:rPr>
        <w:t xml:space="preserve">El problema</w:t>
      </w:r>
    </w:p>
    <w:p>
      <w:pPr>
        <w:spacing w:after="120"/>
      </w:pPr>
      <w:r>
        <w:t xml:space="preserve">El presupuesto va desglosado por nave, pero el contratista presupuesta y factura para todo su trabajo en la obra, y sus facturas no se desglosan por trabajo. De ahí cuatro consecuencias:</w:t>
      </w:r>
    </w:p>
    <w:p>
      <w:pPr>
        <w:pStyle w:val="ListParagraph"/>
        <w:numPr>
          <w:ilvl w:val="0"/>
          <w:numId w:val="2"/>
        </w:numPr>
        <w:spacing w:after="120"/>
      </w:pPr>
      <w:r>
        <w:rPr>
          <w:b/>
          <w:bCs/>
        </w:rPr>
        <w:t xml:space="preserve">Perdemos el detalle del gasto. </w:t>
      </w:r>
      <w:r>
        <w:t xml:space="preserve">La factura cubre todo el trabajo del contratista en toda la obra. No podemos saber el coste real de cada tarea ni de cada nave; solo el total que cobra cada contratista.</w:t>
      </w:r>
    </w:p>
    <w:p>
      <w:pPr>
        <w:pStyle w:val="ListParagraph"/>
        <w:numPr>
          <w:ilvl w:val="0"/>
          <w:numId w:val="2"/>
        </w:numPr>
        <w:spacing w:after="120"/>
      </w:pPr>
      <w:r>
        <w:rPr>
          <w:b/>
          <w:bCs/>
        </w:rPr>
        <w:t xml:space="preserve">El control de desvíos se queda a medias. </w:t>
      </w:r>
      <w:r>
        <w:t xml:space="preserve">Presupuesto contra gasto real solo es fiable a nivel de contratista. El desvío por nave o por partida deja de ser un dato medido y pasa a ser una estimación.</w:t>
      </w:r>
    </w:p>
    <w:p>
      <w:pPr>
        <w:pStyle w:val="ListParagraph"/>
        <w:numPr>
          <w:ilvl w:val="0"/>
          <w:numId w:val="2"/>
        </w:numPr>
        <w:spacing w:after="120"/>
      </w:pPr>
      <w:r>
        <w:rPr>
          <w:b/>
          <w:bCs/>
        </w:rPr>
        <w:t xml:space="preserve">El casado factura-tarea pierde sentido. </w:t>
      </w:r>
      <w:r>
        <w:t xml:space="preserve">Sin desglose no hay nada que cruzar a nivel de tarea. El único enlace fiable es factura ↔ contratista, por NIF, y ese es directo.</w:t>
      </w:r>
    </w:p>
    <w:p>
      <w:pPr>
        <w:pStyle w:val="ListParagraph"/>
        <w:numPr>
          <w:ilvl w:val="0"/>
          <w:numId w:val="2"/>
        </w:numPr>
        <w:spacing w:after="120"/>
      </w:pPr>
      <w:r>
        <w:rPr>
          <w:b/>
          <w:bCs/>
        </w:rPr>
        <w:t xml:space="preserve">Pagado no es lo mismo que ejecutado. </w:t>
      </w:r>
      <w:r>
        <w:t xml:space="preserve">El dinero ya no baja a la tarea, así que el avance físico de la obra lo tiene que registrar una persona, aparte del control económico.</w:t>
      </w:r>
    </w:p>
    <w:p>
      <w:pPr>
        <w:spacing w:after="120" w:before="200"/>
      </w:pPr>
      <w:r>
        <w:rPr>
          <w:b/>
          <w:bCs/>
        </w:rPr>
        <w:t xml:space="preserve">Novedad (6 de septiembre de 2026): la Opción A ya no es solo teórica</w:t>
      </w:r>
    </w:p>
    <w:p>
      <w:pPr>
        <w:spacing w:after="120"/>
      </w:pPr>
      <w:r>
        <w:t xml:space="preserve">Un contrato de ejecución firmado con una subcontrata eléctrica (anonimizado, ver </w:t>
      </w:r>
      <w:r>
        <w:rPr>
          <w:i/>
          <w:iCs/>
        </w:rPr>
        <w:t xml:space="preserve">contrato_subcontrata_electricidad_anonimizado.md</w:t>
      </w:r>
      <w:r>
        <w:t xml:space="preserve">) incluye una cláusula que obliga al subcontratista a entregar, con cada factura mensual, los datos necesarios para identificar y localizar las unidades ejecutadas, </w:t>
      </w:r>
      <w:r>
        <w:rPr>
          <w:i/>
          <w:iCs/>
        </w:rPr>
        <w:t xml:space="preserve">"de tal manera que puedan ser verificadas sin desplazarse a la obra"</w:t>
      </w:r>
      <w:r>
        <w:t xml:space="preserve">. El propio contrato desglosa el presupuesto por Sala (Sala 1/2/3) con partidas y precio unitario — justo el nivel de detalle que el presupuesto al cliente no da.</w:t>
      </w:r>
    </w:p>
    <w:p>
      <w:pPr>
        <w:spacing w:after="120"/>
      </w:pPr>
      <w:r>
        <w:t xml:space="preserve">Esto es una prueba real de que se puede pactar por contrato lo que la Opción A pide: no haría falta convencer a cada contratista desde cero, sino incluir esta cláusula (o una equivalente) en los contratos de ejecución que ya se firman con las subcontratas.</w:t>
      </w:r>
    </w:p>
    <w:p>
      <w:pPr>
        <w:spacing w:after="200"/>
      </w:pPr>
      <w:r>
        <w:rPr>
          <w:b/>
          <w:bCs/>
        </w:rPr>
        <w:t xml:space="preserve">Lo que falta cerrar. </w:t>
      </w:r>
      <w:r>
        <w:t xml:space="preserve">No tenemos todavía ninguna factura real de esa subcontrata para confirmar si el desglose por Sala pactado en el contrato se refleja igual en la factura mensual, o si se agrega en un único importe a pesar de la cláusula. </w:t>
      </w:r>
      <w:r>
        <w:rPr>
          <w:b/>
          <w:bCs/>
        </w:rPr>
        <w:t xml:space="preserve">[VERIFICAR]</w:t>
      </w:r>
    </w:p>
    <w:p>
      <w:pPr>
        <w:spacing w:after="120" w:before="100"/>
      </w:pPr>
      <w:r>
        <w:rPr>
          <w:b/>
          <w:bCs/>
        </w:rPr>
        <w:t xml:space="preserve">Las opciones</w:t>
      </w:r>
    </w:p>
    <w:p>
      <w:pPr>
        <w:spacing w:after="120"/>
      </w:pPr>
      <w:r>
        <w:t xml:space="preserve">Dos formas de trabajar, según cuánto detalle queramos recuperar.</w:t>
      </w:r>
    </w:p>
    <w:p>
      <w:pPr>
        <w:spacing w:after="60"/>
      </w:pPr>
      <w:r>
        <w:rPr>
          <w:b/>
          <w:bCs/>
        </w:rPr>
        <w:t xml:space="preserve">Opción A — Pedir desglose a los contratistas.</w:t>
      </w:r>
    </w:p>
    <w:p>
      <w:pPr>
        <w:spacing w:after="100"/>
      </w:pPr>
      <w:r>
        <w:rPr>
          <w:i/>
          <w:iCs/>
        </w:rPr>
        <w:t xml:space="preserve">Recuperamos el detalle — y ya sabemos que se puede pactar, al menos para electricidad.</w:t>
      </w:r>
    </w:p>
    <w:p>
      <w:pPr>
        <w:pStyle w:val="ListParagraph"/>
        <w:numPr>
          <w:ilvl w:val="0"/>
          <w:numId w:val="2"/>
        </w:numPr>
        <w:spacing w:after="120"/>
      </w:pPr>
      <w:r>
        <w:t xml:space="preserve">Exigir el desglose por nave (y a ser posible por partida) ya en la oferta.</w:t>
      </w:r>
    </w:p>
    <w:p>
      <w:pPr>
        <w:pStyle w:val="ListParagraph"/>
        <w:numPr>
          <w:ilvl w:val="0"/>
          <w:numId w:val="2"/>
        </w:numPr>
        <w:spacing w:after="120"/>
      </w:pPr>
      <w:r>
        <w:t xml:space="preserve">Exigir que las certificaciones y facturas vengan medidas por nave, no un importe único por toda la obra — como ya hace la cláusula de facturación del contrato de electricidad.</w:t>
      </w:r>
    </w:p>
    <w:p>
      <w:pPr>
        <w:pStyle w:val="ListParagraph"/>
        <w:numPr>
          <w:ilvl w:val="0"/>
          <w:numId w:val="2"/>
        </w:numPr>
        <w:spacing w:after="120"/>
      </w:pPr>
      <w:r>
        <w:t xml:space="preserve">Es lo estándar en obra formal (certificación por capítulo y medición), así que suele poderse pedir.</w:t>
      </w:r>
    </w:p>
    <w:p>
      <w:pPr>
        <w:pStyle w:val="ListParagraph"/>
        <w:numPr>
          <w:ilvl w:val="0"/>
          <w:numId w:val="2"/>
        </w:numPr>
        <w:spacing w:after="120"/>
      </w:pPr>
      <w:r>
        <w:rPr>
          <w:b/>
          <w:bCs/>
        </w:rPr>
        <w:t xml:space="preserve">Coste: </w:t>
      </w:r>
      <w:r>
        <w:t xml:space="preserve">negociación con los contratistas; algún proveedor pequeño se resistirá. A cambio, recuperamos control real por nave.</w:t>
      </w:r>
    </w:p>
    <w:p>
      <w:pPr>
        <w:spacing w:after="60" w:before="120"/>
      </w:pPr>
      <w:r>
        <w:rPr>
          <w:b/>
          <w:bCs/>
        </w:rPr>
        <w:t xml:space="preserve">Opción B — Aceptar el nivel contratista y estimar hacia abajo.</w:t>
      </w:r>
    </w:p>
    <w:p>
      <w:pPr>
        <w:spacing w:after="100"/>
      </w:pPr>
      <w:r>
        <w:rPr>
          <w:i/>
          <w:iCs/>
        </w:rPr>
        <w:t xml:space="preserve">Cero fricción.</w:t>
      </w:r>
    </w:p>
    <w:p>
      <w:pPr>
        <w:pStyle w:val="ListParagraph"/>
        <w:numPr>
          <w:ilvl w:val="0"/>
          <w:numId w:val="2"/>
        </w:numPr>
        <w:spacing w:after="120"/>
      </w:pPr>
      <w:r>
        <w:t xml:space="preserve">Control económico fiable por contratista.</w:t>
      </w:r>
    </w:p>
    <w:p>
      <w:pPr>
        <w:pStyle w:val="ListParagraph"/>
        <w:numPr>
          <w:ilvl w:val="0"/>
          <w:numId w:val="2"/>
        </w:numPr>
        <w:spacing w:after="120"/>
      </w:pPr>
      <w:r>
        <w:t xml:space="preserve">Reparto del gasto a nave o tarea de forma proporcional al presupuesto, mostrado siempre como estimación, nunca como dato medido.</w:t>
      </w:r>
    </w:p>
    <w:p>
      <w:pPr>
        <w:pStyle w:val="ListParagraph"/>
        <w:numPr>
          <w:ilvl w:val="0"/>
          <w:numId w:val="2"/>
        </w:numPr>
        <w:spacing w:after="120"/>
      </w:pPr>
      <w:r>
        <w:rPr>
          <w:b/>
          <w:bCs/>
        </w:rPr>
        <w:t xml:space="preserve">Coste: </w:t>
      </w:r>
      <w:r>
        <w:t xml:space="preserve">no molestamos a nadie, pero el detalle por nave o tarea nunca será real.</w:t>
      </w:r>
    </w:p>
    <w:p>
      <w:pPr>
        <w:spacing w:after="120" w:before="200"/>
      </w:pPr>
      <w:r>
        <w:rPr>
          <w:b/>
          <w:bCs/>
        </w:rPr>
        <w:t xml:space="preserve">Recomendación</w:t>
      </w:r>
    </w:p>
    <w:p>
      <w:pPr>
        <w:spacing w:after="120"/>
      </w:pPr>
      <w:r>
        <w:rPr>
          <w:i/>
          <w:iCs/>
        </w:rPr>
        <w:t xml:space="preserve">Enfoque mixto: recuperar lo realista y estimar el resto. Se mantiene igual que antes; lo nuevo es que ya hay un precedente contractual real de la Opción A.</w:t>
      </w:r>
    </w:p>
    <w:p>
      <w:pPr>
        <w:pStyle w:val="ListParagraph"/>
        <w:numPr>
          <w:ilvl w:val="0"/>
          <w:numId w:val="2"/>
        </w:numPr>
        <w:spacing w:after="120"/>
      </w:pPr>
      <w:r>
        <w:rPr>
          <w:b/>
          <w:bCs/>
        </w:rPr>
        <w:t xml:space="preserve">Exigir el desglose por nave </w:t>
      </w:r>
      <w:r>
        <w:t xml:space="preserve">en oferta y en certificación (Opción A), reutilizando cláusulas como la ya pactada con la subcontrata eléctrica. Es lo realista de pedir a un contratista.</w:t>
      </w:r>
    </w:p>
    <w:p>
      <w:pPr>
        <w:pStyle w:val="ListParagraph"/>
        <w:numPr>
          <w:ilvl w:val="0"/>
          <w:numId w:val="2"/>
        </w:numPr>
        <w:spacing w:after="120"/>
      </w:pPr>
      <w:r>
        <w:rPr>
          <w:b/>
          <w:bCs/>
        </w:rPr>
        <w:t xml:space="preserve">Dejar el nivel tarea como estimación </w:t>
      </w:r>
      <w:r>
        <w:t xml:space="preserve">(Opción B), repartiendo proporcional al presupuesto y etiquetándolo siempre como estimación.</w:t>
      </w:r>
    </w:p>
    <w:p>
      <w:pPr>
        <w:pStyle w:val="ListParagraph"/>
        <w:numPr>
          <w:ilvl w:val="0"/>
          <w:numId w:val="2"/>
        </w:numPr>
        <w:spacing w:after="120"/>
      </w:pPr>
      <w:r>
        <w:rPr>
          <w:b/>
          <w:bCs/>
        </w:rPr>
        <w:t xml:space="preserve">Lo que gana Dirección: </w:t>
      </w:r>
      <w:r>
        <w:t xml:space="preserve">desvío real por nave y por contratista —que es lo que de verdad se gestiona— sin pelear un desglose tarea a tarea que ningún contratista va a entregar.</w:t>
      </w:r>
    </w:p>
    <w:p>
      <w:pPr>
        <w:spacing w:after="120" w:before="200"/>
      </w:pPr>
      <w:r>
        <w:rPr>
          <w:b/>
          <w:bCs/>
        </w:rPr>
        <w:t xml:space="preserve">A validar con el equipo</w:t>
      </w:r>
    </w:p>
    <w:p>
      <w:pPr>
        <w:pStyle w:val="ListParagraph"/>
        <w:numPr>
          <w:ilvl w:val="0"/>
          <w:numId w:val="2"/>
        </w:numPr>
        <w:spacing w:after="120"/>
      </w:pPr>
      <w:r>
        <w:t xml:space="preserve">Si el reparto estimado a nave/tarea les vale como herramienta de gestión o lo van a leer como dato real.</w:t>
      </w:r>
      <w:r>
        <w:rPr>
          <w:b/>
          <w:bCs/>
        </w:rPr>
        <w:t xml:space="preserve">  [VERIFICAR]</w:t>
      </w:r>
    </w:p>
    <w:p>
      <w:pPr>
        <w:pStyle w:val="ListParagraph"/>
        <w:numPr>
          <w:ilvl w:val="0"/>
          <w:numId w:val="2"/>
        </w:numPr>
        <w:spacing w:after="120"/>
      </w:pPr>
      <w:r>
        <w:t xml:space="preserve">Si el desglose por Sala que exige el contrato de electricidad se cumple también en la factura mensual real — pendiente de la primera factura de esa subcontrata.</w:t>
      </w:r>
      <w:r>
        <w:rPr>
          <w:b/>
          <w:bCs/>
        </w:rPr>
        <w:t xml:space="preserve">  [VERIFICAR]</w:t>
      </w:r>
    </w:p>
    <w:p>
      <w:pPr>
        <w:pStyle w:val="ListParagraph"/>
        <w:numPr>
          <w:ilvl w:val="0"/>
          <w:numId w:val="2"/>
        </w:numPr>
        <w:spacing w:after="120"/>
      </w:pPr>
      <w:r>
        <w:t xml:space="preserve">Si conviene generalizar esta cláusula de facturación (identificación y localización de unidades ejecutadas) a los contratos con el resto de subcontratistas, no solo electricidad.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2026-09-06T08:14:24.058Z</dcterms:created>
  <dcterms:modified xsi:type="dcterms:W3CDTF">2026-09-06T08:14:24.074Z</dcterms:modified>
</cp:coreProperties>
</file>

<file path=docProps/custom.xml><?xml version="1.0" encoding="utf-8"?>
<Properties xmlns="http://schemas.openxmlformats.org/officeDocument/2006/custom-properties" xmlns:vt="http://schemas.openxmlformats.org/officeDocument/2006/docPropsVTypes"/>
</file>