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Resumen del BD solo con cosas teóricas para el segundo parcial. 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Algebra relacional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Útil para realizar consultas en una base de datos.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Selección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Permite seleccionar un subconjunto de tuplas de una relación R a todas aquellas que cumplan con las condiciones P.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Producto Cartesiano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400040" cy="298958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SQL – Structured Query Language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un lenguaje que abarca DDL (Data Definition Language) y DML (Data Manipulation Language). Permite operar directamente sobre la base de datos, permitiendo realizar consultas y operaciones de manipulación de datos como INSERT, DELETE, y UPDATE.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DDL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utiliza para definir y administrar objetos bases de datos, como la propia BD, tablas y vistas. CREATE, ALTER y DROP son instrucciones típicas para objeto.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 ejemplo, las instrucciones CREATE TABLE, ALTER TABLE y DROP TABLE se utilizan para crear una tabla, modificar sus propiedades (agregar o borrar columnas, por ejemplo) y eliminar una tabla, respectivamente.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DML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Manipula los datos contenidos en los objetos base de datos. INSERT, SELECT, UPDATE y DELETE son instrucciones propias de DML. 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Funciones Especiales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DATEDIFF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Como indica su nombre, nos da la diferencia de años.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400040" cy="266128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TRANSACCIONES y CONCURRENCIA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Los SGBDs son sistemas concurrentes, que admiten la ejecución de consultas y modificaciones al mismo tiempo desde diferentes usuarios. Por esto, el SGBD debe prever acciones y controles que preserven la integridad de los datos.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Transacción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Unidad de la ejecución de un programa. Puede incluir diferentes accesos a la base de datos, como consultas, actualizaciones, ejecuciones de procedimientos almacenados, vistas, etc.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inicia con la marca </w:t>
      </w:r>
      <w:r w:rsidDel="00000000" w:rsidR="00000000" w:rsidRPr="00000000">
        <w:rPr>
          <w:b w:val="1"/>
          <w:rtl w:val="0"/>
        </w:rPr>
        <w:t xml:space="preserve">BEGIN TRAN </w:t>
      </w:r>
      <w:r w:rsidDel="00000000" w:rsidR="00000000" w:rsidRPr="00000000">
        <w:rPr>
          <w:rtl w:val="0"/>
        </w:rPr>
        <w:t xml:space="preserve">y se finaliza con la confirmación </w:t>
      </w:r>
      <w:r w:rsidDel="00000000" w:rsidR="00000000" w:rsidRPr="00000000">
        <w:rPr>
          <w:b w:val="1"/>
          <w:rtl w:val="0"/>
        </w:rPr>
        <w:t xml:space="preserve">COMMIT </w:t>
      </w:r>
      <w:r w:rsidDel="00000000" w:rsidR="00000000" w:rsidRPr="00000000">
        <w:rPr>
          <w:rtl w:val="0"/>
        </w:rPr>
        <w:t xml:space="preserve">o la cancelación </w:t>
      </w:r>
      <w:r w:rsidDel="00000000" w:rsidR="00000000" w:rsidRPr="00000000">
        <w:rPr>
          <w:b w:val="1"/>
          <w:rtl w:val="0"/>
        </w:rPr>
        <w:t xml:space="preserve">ROLLBACK.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Propiedades</w:t>
      </w:r>
    </w:p>
    <w:p w:rsidR="00000000" w:rsidDel="00000000" w:rsidP="00000000" w:rsidRDefault="00000000" w:rsidRPr="00000000" w14:paraId="0000001B">
      <w:pPr>
        <w:pStyle w:val="Heading4"/>
        <w:rPr/>
      </w:pPr>
      <w:r w:rsidDel="00000000" w:rsidR="00000000" w:rsidRPr="00000000">
        <w:rPr>
          <w:rtl w:val="0"/>
        </w:rPr>
        <w:t xml:space="preserve">Atomicidad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Ocurren totalmente, o no ocurren, por lo que se observan de forma atómica.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Casos a considerar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Consultas unitarias: Se preserva la atomicidad, porque en sistemas compartidos la ejecución concurrente de dos consultas SQL puede ser incorrecta si no se toman las precauciones adecuadas.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Operación abortada: En casos de error o para evitar bloqueos.</w:t>
      </w:r>
    </w:p>
    <w:p w:rsidR="00000000" w:rsidDel="00000000" w:rsidP="00000000" w:rsidRDefault="00000000" w:rsidRPr="00000000" w14:paraId="00000020">
      <w:pPr>
        <w:pStyle w:val="Heading4"/>
        <w:rPr/>
      </w:pPr>
      <w:r w:rsidDel="00000000" w:rsidR="00000000" w:rsidRPr="00000000">
        <w:rPr>
          <w:rtl w:val="0"/>
        </w:rPr>
        <w:t xml:space="preserve">Consistencia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Toda transacción debe proporcionar un entorno especial para cada elemento de la misma. La ejecución aislada de la transacción conserva la consistencia de la base de datos.</w:t>
      </w:r>
    </w:p>
    <w:p w:rsidR="00000000" w:rsidDel="00000000" w:rsidP="00000000" w:rsidRDefault="00000000" w:rsidRPr="00000000" w14:paraId="00000022">
      <w:pPr>
        <w:pStyle w:val="Heading4"/>
        <w:rPr/>
      </w:pPr>
      <w:r w:rsidDel="00000000" w:rsidR="00000000" w:rsidRPr="00000000">
        <w:rPr>
          <w:rtl w:val="0"/>
        </w:rPr>
        <w:t xml:space="preserve">Aislamiento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SGBD debe garantizar que, cuando dos transacciones que se ejecuten al mismo tiempo, posean el correcto nivel de aislamiento de los datos para que no se produzcan inconsistencias.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 datos se harán efectivos en la base de datos cuando se ejecute la sentencia COMMIT.</w:t>
      </w:r>
    </w:p>
    <w:p w:rsidR="00000000" w:rsidDel="00000000" w:rsidP="00000000" w:rsidRDefault="00000000" w:rsidRPr="00000000" w14:paraId="00000025">
      <w:pPr>
        <w:pStyle w:val="Heading4"/>
        <w:rPr/>
      </w:pPr>
      <w:r w:rsidDel="00000000" w:rsidR="00000000" w:rsidRPr="00000000">
        <w:rPr>
          <w:rtl w:val="0"/>
        </w:rPr>
        <w:t xml:space="preserve">Durabilidad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Efectivos en la base de datos cuando se ejecute la sentencia COMMIT.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Elementos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Son las unidades de datos para los que se controla el acceso. Relación, tupla, campos, bloques, etc.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granularidad</w:t>
      </w:r>
      <w:r w:rsidDel="00000000" w:rsidR="00000000" w:rsidRPr="00000000">
        <w:rPr>
          <w:rtl w:val="0"/>
        </w:rPr>
        <w:t xml:space="preserve"> es el tamaño de los elementos. A mayor granularidad, menos concurrencia.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Sistemas de grano fino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Tienen pocos elementos (o pequeños) dentro de la transacción.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Sistema de grano grueso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Muchos elementos, o grandes, dentro de la transacción.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Bloqueos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 bloqueo es una información del tipo de acceso que se permite a un elemento. El SGBD impone los bloqueos necesarios en cada momento. El gestor de acceso a los datos implementa las restricciones de acceso. En algunos sistemas se permite que el usuario pueda indicar el bloqueo más adecuado (locking hints). Tipos de bloqueo con respecto a la operación: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read-locks: sólo permite lectura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write-locks: permite lectura y escritura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Niveles de bloqueos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Especifica la granularidad del bloqueo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Fila: Fila individual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Clave: Fila de un índice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Página: Páginas (8Kb)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Extent: Extensión (grupo de 8 páginas contiguas de datos o índices)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Table: Tabla completa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Database: Base de datos completa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Modos de bloqueos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Compartido: para operaciones sólo de lectura. Se permiten lecturas concurrentes, pero ninguna actualización. (Puede generar confusión en la lectura de los datos)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• Actualización: para operaciones que pueden escribir. Sólo se permite que una transacción adquiera este bloqueo. Si la transacción modifica datos, se convierte en exclusivo, en caso contrario en compartido.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Exclusivo: para operaciones que escriben datos. Sólo se permite que una transacción adquiera este bloqueo.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Intención: se usan para establecer una jerarquía de bloqueo. Por ejemplo, si una transacción necesita bloqueo exclusivo y varias transacciones tienen bloqueo de intención, no se concede el exclusivo.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Intención compartido. Bloqueo compartido.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Intención exclusivo. Bloqueo exclusivo.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Compartido con intención exclusivo. Algunos bloqueos compartidos y otros exclusivos.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Esquema. para operaciones del DDL.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Actualización masiva. En operaciones de actualización masiva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ed7d31" w:space="2" w:sz="4" w:val="single"/>
      </w:pBdr>
      <w:spacing w:after="120" w:before="360" w:line="240" w:lineRule="auto"/>
    </w:pPr>
    <w:rPr>
      <w:rFonts w:ascii="Calibri" w:cs="Calibri" w:eastAsia="Calibri" w:hAnsi="Calibri"/>
      <w:color w:val="26262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color w:val="ed7d3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843c0b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843c0b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055BB"/>
    <w:pPr>
      <w:keepNext w:val="1"/>
      <w:keepLines w:val="1"/>
      <w:spacing w:after="0" w:before="80" w:line="240" w:lineRule="auto"/>
      <w:outlineLvl w:val="6"/>
    </w:pPr>
    <w:rPr>
      <w:rFonts w:asciiTheme="majorHAnsi" w:cstheme="majorBidi" w:eastAsiaTheme="majorEastAsia" w:hAnsiTheme="majorHAnsi"/>
      <w:b w:val="1"/>
      <w:bCs w:val="1"/>
      <w:color w:val="833c0b" w:themeColor="accent2" w:themeShade="0000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055BB"/>
    <w:pPr>
      <w:keepNext w:val="1"/>
      <w:keepLines w:val="1"/>
      <w:spacing w:after="0" w:before="80" w:line="240" w:lineRule="auto"/>
      <w:outlineLvl w:val="7"/>
    </w:pPr>
    <w:rPr>
      <w:rFonts w:asciiTheme="majorHAnsi" w:cstheme="majorBidi" w:eastAsiaTheme="majorEastAsia" w:hAnsiTheme="majorHAnsi"/>
      <w:color w:val="833c0b" w:themeColor="accent2" w:themeShade="0000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055BB"/>
    <w:pPr>
      <w:keepNext w:val="1"/>
      <w:keepLines w:val="1"/>
      <w:spacing w:after="0" w:before="80" w:line="240" w:lineRule="auto"/>
      <w:outlineLvl w:val="8"/>
    </w:pPr>
    <w:rPr>
      <w:rFonts w:asciiTheme="majorHAnsi" w:cstheme="majorBidi" w:eastAsiaTheme="majorEastAsia" w:hAnsiTheme="majorHAnsi"/>
      <w:i w:val="1"/>
      <w:iCs w:val="1"/>
      <w:color w:val="833c0b" w:themeColor="accent2" w:themeShade="000080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055BB"/>
    <w:rPr>
      <w:rFonts w:asciiTheme="majorHAnsi" w:cstheme="majorBidi" w:eastAsiaTheme="majorEastAsia" w:hAnsiTheme="majorHAnsi"/>
      <w:color w:val="262626" w:themeColor="text1" w:themeTint="0000D9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B055BB"/>
    <w:rPr>
      <w:rFonts w:asciiTheme="majorHAnsi" w:cstheme="majorBidi" w:eastAsiaTheme="majorEastAsia" w:hAnsiTheme="majorHAnsi"/>
      <w:color w:val="ed7d31" w:themeColor="accent2"/>
      <w:sz w:val="36"/>
      <w:szCs w:val="36"/>
    </w:rPr>
  </w:style>
  <w:style w:type="character" w:styleId="Ttulo3Car" w:customStyle="1">
    <w:name w:val="Título 3 Car"/>
    <w:basedOn w:val="Fuentedeprrafopredeter"/>
    <w:link w:val="Ttulo3"/>
    <w:uiPriority w:val="9"/>
    <w:rsid w:val="00B055BB"/>
    <w:rPr>
      <w:rFonts w:asciiTheme="majorHAnsi" w:cstheme="majorBidi" w:eastAsiaTheme="majorEastAsia" w:hAnsiTheme="majorHAnsi"/>
      <w:color w:val="c45911" w:themeColor="accent2" w:themeShade="0000BF"/>
      <w:sz w:val="32"/>
      <w:szCs w:val="32"/>
    </w:rPr>
  </w:style>
  <w:style w:type="character" w:styleId="Ttulo4Car" w:customStyle="1">
    <w:name w:val="Título 4 Car"/>
    <w:basedOn w:val="Fuentedeprrafopredeter"/>
    <w:link w:val="Ttulo4"/>
    <w:uiPriority w:val="9"/>
    <w:rsid w:val="00B055BB"/>
    <w:rPr>
      <w:rFonts w:asciiTheme="majorHAnsi" w:cstheme="majorBidi" w:eastAsiaTheme="majorEastAsia" w:hAnsiTheme="majorHAnsi"/>
      <w:i w:val="1"/>
      <w:iCs w:val="1"/>
      <w:color w:val="833c0b" w:themeColor="accent2" w:themeShade="000080"/>
      <w:sz w:val="28"/>
      <w:szCs w:val="28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055BB"/>
    <w:rPr>
      <w:rFonts w:asciiTheme="majorHAnsi" w:cstheme="majorBidi" w:eastAsiaTheme="majorEastAsia" w:hAnsiTheme="majorHAnsi"/>
      <w:color w:val="c45911" w:themeColor="accent2" w:themeShade="0000BF"/>
      <w:sz w:val="24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055BB"/>
    <w:rPr>
      <w:rFonts w:asciiTheme="majorHAnsi" w:cstheme="majorBidi" w:eastAsiaTheme="majorEastAsia" w:hAnsiTheme="majorHAnsi"/>
      <w:i w:val="1"/>
      <w:iCs w:val="1"/>
      <w:color w:val="833c0b" w:themeColor="accent2" w:themeShade="000080"/>
      <w:sz w:val="24"/>
      <w:szCs w:val="24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055BB"/>
    <w:rPr>
      <w:rFonts w:asciiTheme="majorHAnsi" w:cstheme="majorBidi" w:eastAsiaTheme="majorEastAsia" w:hAnsiTheme="majorHAnsi"/>
      <w:b w:val="1"/>
      <w:bCs w:val="1"/>
      <w:color w:val="833c0b" w:themeColor="accent2" w:themeShade="000080"/>
      <w:sz w:val="22"/>
      <w:szCs w:val="22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055BB"/>
    <w:rPr>
      <w:rFonts w:asciiTheme="majorHAnsi" w:cstheme="majorBidi" w:eastAsiaTheme="majorEastAsia" w:hAnsiTheme="majorHAnsi"/>
      <w:color w:val="833c0b" w:themeColor="accent2" w:themeShade="000080"/>
      <w:sz w:val="22"/>
      <w:szCs w:val="22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055BB"/>
    <w:rPr>
      <w:rFonts w:asciiTheme="majorHAnsi" w:cstheme="majorBidi" w:eastAsiaTheme="majorEastAsia" w:hAnsiTheme="majorHAnsi"/>
      <w:i w:val="1"/>
      <w:iCs w:val="1"/>
      <w:color w:val="833c0b" w:themeColor="accent2" w:themeShade="000080"/>
      <w:sz w:val="22"/>
      <w:szCs w:val="22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B055BB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character" w:styleId="TtuloCar" w:customStyle="1">
    <w:name w:val="Título Car"/>
    <w:basedOn w:val="Fuentedeprrafopredeter"/>
    <w:link w:val="Ttulo"/>
    <w:uiPriority w:val="10"/>
    <w:rsid w:val="00B055BB"/>
    <w:rPr>
      <w:rFonts w:asciiTheme="majorHAnsi" w:cstheme="majorBidi" w:eastAsiaTheme="majorEastAsia" w:hAnsiTheme="majorHAnsi"/>
      <w:color w:val="262626" w:themeColor="text1" w:themeTint="0000D9"/>
      <w:sz w:val="96"/>
      <w:szCs w:val="96"/>
    </w:rPr>
  </w:style>
  <w:style w:type="character" w:styleId="SubttuloCar" w:customStyle="1">
    <w:name w:val="Subtítulo Car"/>
    <w:basedOn w:val="Fuentedeprrafopredeter"/>
    <w:link w:val="Subttulo"/>
    <w:uiPriority w:val="11"/>
    <w:rsid w:val="00B055BB"/>
    <w:rPr>
      <w:caps w:val="1"/>
      <w:color w:val="404040" w:themeColor="text1" w:themeTint="0000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 w:val="1"/>
    <w:rsid w:val="00B055BB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055BB"/>
    <w:rPr>
      <w:i w:val="1"/>
      <w:iCs w:val="1"/>
      <w:color w:val="000000" w:themeColor="text1"/>
    </w:rPr>
  </w:style>
  <w:style w:type="paragraph" w:styleId="Sinespaciado">
    <w:name w:val="No Spacing"/>
    <w:uiPriority w:val="1"/>
    <w:qFormat w:val="1"/>
    <w:rsid w:val="00B055B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B055BB"/>
    <w:pPr>
      <w:spacing w:before="160"/>
      <w:ind w:left="720" w:right="720"/>
      <w:jc w:val="center"/>
    </w:pPr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055BB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055BB"/>
    <w:pPr>
      <w:pBdr>
        <w:top w:color="ed7d31" w:space="4" w:sz="24" w:themeColor="accent2" w:val="single"/>
      </w:pBdr>
      <w:spacing w:after="240" w:before="240" w:line="240" w:lineRule="auto"/>
      <w:ind w:left="936" w:right="936"/>
      <w:jc w:val="center"/>
    </w:pPr>
    <w:rPr>
      <w:rFonts w:asciiTheme="majorHAnsi" w:cstheme="majorBidi" w:eastAsiaTheme="majorEastAsia" w:hAnsiTheme="majorHAnsi"/>
      <w:sz w:val="24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055BB"/>
    <w:rPr>
      <w:rFonts w:asciiTheme="majorHAnsi" w:cstheme="majorBidi" w:eastAsiaTheme="majorEastAsia" w:hAnsiTheme="majorHAnsi"/>
      <w:sz w:val="24"/>
      <w:szCs w:val="24"/>
    </w:rPr>
  </w:style>
  <w:style w:type="character" w:styleId="nfasissutil">
    <w:name w:val="Subtle Emphasis"/>
    <w:basedOn w:val="Fuentedeprrafopredeter"/>
    <w:uiPriority w:val="19"/>
    <w:qFormat w:val="1"/>
    <w:rsid w:val="00B055BB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055BB"/>
    <w:rPr>
      <w:b w:val="1"/>
      <w:bCs w:val="1"/>
      <w:i w:val="1"/>
      <w:iCs w:val="1"/>
      <w:caps w:val="0"/>
      <w:smallCaps w:val="0"/>
      <w:strike w:val="0"/>
      <w:dstrike w:val="0"/>
      <w:color w:val="ed7d31" w:themeColor="accent2"/>
    </w:rPr>
  </w:style>
  <w:style w:type="character" w:styleId="Referenciasutil">
    <w:name w:val="Subtle Reference"/>
    <w:basedOn w:val="Fuentedeprrafopredeter"/>
    <w:uiPriority w:val="31"/>
    <w:qFormat w:val="1"/>
    <w:rsid w:val="00B055BB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Referenciaintensa">
    <w:name w:val="Intense Reference"/>
    <w:basedOn w:val="Fuentedeprrafopredeter"/>
    <w:uiPriority w:val="32"/>
    <w:qFormat w:val="1"/>
    <w:rsid w:val="00B055BB"/>
    <w:rPr>
      <w:b w:val="1"/>
      <w:bCs w:val="1"/>
      <w:caps w:val="0"/>
      <w:smallCaps w:val="1"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 w:val="1"/>
    <w:rsid w:val="00B055BB"/>
    <w:rPr>
      <w:b w:val="1"/>
      <w:bCs w:val="1"/>
      <w:caps w:val="0"/>
      <w:smallCaps w:val="1"/>
      <w:spacing w:val="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055BB"/>
    <w:pPr>
      <w:outlineLvl w:val="9"/>
    </w:pPr>
  </w:style>
  <w:style w:type="paragraph" w:styleId="Prrafodelista">
    <w:name w:val="List Paragraph"/>
    <w:basedOn w:val="Normal"/>
    <w:uiPriority w:val="34"/>
    <w:qFormat w:val="1"/>
    <w:rsid w:val="003202D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240" w:lineRule="auto"/>
    </w:pPr>
    <w:rPr>
      <w:smallCaps w:val="1"/>
      <w:color w:val="40404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xefWy5xQLiUYOuItLfsD9sWyg==">CgMxLjA4AHIhMWY3QXdtMTk1UVhvbThtN2hvYS16SE9GZWxjakVEdjlM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2025-10-09T20:48:00Z</dcterms:created>
  <dc:creator>Tomás Schlotahuer</dc:creator>
</cp:coreProperties>
</file>