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0" w:line="240" w:lineRule="auto"/>
        <w:jc w:val="left"/>
      </w:pPr>
      <w:r>
        <w:rPr>
          <w:rFonts w:ascii="Times New Roman" w:cs="Times New Roman" w:eastAsia="Times New Roman" w:hAnsi="Times New Roman"/>
          <w:b/>
          <w:bCs/>
          <w:i w:val="false"/>
          <w:iCs w:val="false"/>
          <w:sz w:val="24"/>
          <w:szCs w:val="24"/>
        </w:rPr>
        <w:t xml:space="preserve">Faris Fatouh</w:t>
      </w:r>
    </w:p>
    <w:p>
      <w:pPr>
        <w:spacing w:after="20" w:before="0" w:line="240" w:lineRule="auto"/>
        <w:jc w:val="left"/>
      </w:pPr>
      <w:r>
        <w:rPr>
          <w:rFonts w:ascii="Times New Roman" w:cs="Times New Roman" w:eastAsia="Times New Roman" w:hAnsi="Times New Roman"/>
          <w:b w:val="false"/>
          <w:bCs w:val="false"/>
          <w:i w:val="false"/>
          <w:iCs w:val="false"/>
          <w:sz w:val="24"/>
          <w:szCs w:val="24"/>
        </w:rPr>
        <w:t xml:space="preserve">Horace Greeley High School</w:t>
      </w:r>
    </w:p>
    <w:p>
      <w:pPr>
        <w:spacing w:after="160" w:before="0" w:line="240" w:lineRule="auto"/>
        <w:jc w:val="left"/>
      </w:pPr>
      <w:r>
        <w:rPr>
          <w:rFonts w:ascii="Times New Roman" w:cs="Times New Roman" w:eastAsia="Times New Roman" w:hAnsi="Times New Roman"/>
          <w:b w:val="false"/>
          <w:bCs w:val="false"/>
          <w:i w:val="false"/>
          <w:iCs w:val="false"/>
          <w:sz w:val="24"/>
          <w:szCs w:val="24"/>
        </w:rPr>
        <w:t xml:space="preserve">2025–2026 Year</w:t>
      </w:r>
    </w:p>
    <w:p>
      <w:pPr>
        <w:spacing w:after="20" w:before="0" w:line="240" w:lineRule="auto"/>
        <w:jc w:val="left"/>
      </w:pPr>
      <w:r>
        <w:rPr>
          <w:rFonts w:ascii="Times New Roman" w:cs="Times New Roman" w:eastAsia="Times New Roman" w:hAnsi="Times New Roman"/>
          <w:b/>
          <w:bCs/>
          <w:i w:val="false"/>
          <w:iCs w:val="false"/>
          <w:sz w:val="24"/>
          <w:szCs w:val="24"/>
        </w:rPr>
        <w:t xml:space="preserve">Project Title:</w:t>
      </w:r>
    </w:p>
    <w:p>
      <w:pPr>
        <w:spacing w:after="160" w:before="0" w:line="240" w:lineRule="auto"/>
        <w:jc w:val="left"/>
      </w:pPr>
      <w:r>
        <w:rPr>
          <w:rFonts w:ascii="Times New Roman" w:cs="Times New Roman" w:eastAsia="Times New Roman" w:hAnsi="Times New Roman"/>
          <w:b w:val="false"/>
          <w:bCs w:val="false"/>
          <w:i w:val="false"/>
          <w:iCs w:val="false"/>
          <w:sz w:val="24"/>
          <w:szCs w:val="24"/>
        </w:rPr>
        <w:t xml:space="preserve">Effects of Payload Mass and Aeroshell Diameter on Ballistic Coefficient and Mars Entry, Descent, and Landing Performance</w:t>
      </w:r>
    </w:p>
    <w:p>
      <w:pPr>
        <w:spacing w:after="200" w:before="0" w:line="240" w:lineRule="auto"/>
        <w:jc w:val="left"/>
      </w:pPr>
      <w:r>
        <w:rPr>
          <w:rFonts w:ascii="Times New Roman" w:cs="Times New Roman" w:eastAsia="Times New Roman" w:hAnsi="Times New Roman"/>
          <w:b w:val="false"/>
          <w:bCs w:val="false"/>
          <w:i/>
          <w:iCs/>
          <w:sz w:val="24"/>
          <w:szCs w:val="24"/>
        </w:rPr>
        <w:t xml:space="preserve">[Insert link to Forms Folder here, including Wizard screenshot]</w:t>
      </w:r>
    </w:p>
    <w:p>
      <w:pPr>
        <w:spacing w:after="240" w:before="0" w:line="240" w:lineRule="auto"/>
        <w:jc w:val="center"/>
      </w:pPr>
      <w:r>
        <w:rPr>
          <w:rFonts w:ascii="Times New Roman" w:cs="Times New Roman" w:eastAsia="Times New Roman" w:hAnsi="Times New Roman"/>
          <w:b/>
          <w:bCs/>
          <w:i w:val="false"/>
          <w:iCs w:val="false"/>
          <w:sz w:val="28"/>
          <w:szCs w:val="28"/>
        </w:rPr>
        <w:t xml:space="preserve">Research Plan</w:t>
      </w:r>
    </w:p>
    <w:p>
      <w:pPr>
        <w:spacing w:after="120" w:before="0" w:line="240" w:lineRule="auto"/>
        <w:jc w:val="left"/>
      </w:pPr>
      <w:r>
        <w:rPr>
          <w:rFonts w:ascii="Times New Roman" w:cs="Times New Roman" w:eastAsia="Times New Roman" w:hAnsi="Times New Roman"/>
          <w:b/>
          <w:bCs/>
          <w:i w:val="false"/>
          <w:iCs w:val="false"/>
          <w:sz w:val="26"/>
          <w:szCs w:val="26"/>
        </w:rPr>
        <w:t xml:space="preserve">1. Rationale</w:t>
      </w:r>
    </w:p>
    <w:p>
      <w:pPr>
        <w:spacing w:after="160" w:before="0" w:line="240" w:lineRule="auto"/>
        <w:jc w:val="left"/>
      </w:pPr>
      <w:r>
        <w:rPr>
          <w:rFonts w:ascii="Times New Roman" w:cs="Times New Roman" w:eastAsia="Times New Roman" w:hAnsi="Times New Roman"/>
          <w:b w:val="false"/>
          <w:bCs w:val="false"/>
          <w:i w:val="false"/>
          <w:iCs w:val="false"/>
          <w:sz w:val="24"/>
          <w:szCs w:val="24"/>
        </w:rPr>
        <w:t xml:space="preserve">Future robotic and potential human exploration of Mars will require far heavier payloads while maintaining safety and landing accuracy [1,2]. Unlike previous missions that delivered payloads of less than one metric ton [1], future exploration stresses the need for landing substantially heavier equipment and infrastructure [4]. The atmospheric density of Mars is dense enough to cause substantial heating to the vehicle but too thin to support aerodynamic deceleration [3]. Therefore, Entry, Descent, and Landing (EDL) remains one of the most technically challenging aspects of planetary exploration [2].</w:t>
      </w:r>
    </w:p>
    <w:p>
      <w:pPr>
        <w:spacing w:after="160" w:before="0" w:line="240" w:lineRule="auto"/>
        <w:jc w:val="left"/>
      </w:pPr>
      <w:r>
        <w:rPr>
          <w:rFonts w:ascii="Times New Roman" w:cs="Times New Roman" w:eastAsia="Times New Roman" w:hAnsi="Times New Roman"/>
          <w:b w:val="false"/>
          <w:bCs w:val="false"/>
          <w:i w:val="false"/>
          <w:iCs w:val="false"/>
          <w:sz w:val="24"/>
          <w:szCs w:val="24"/>
        </w:rPr>
        <w:t xml:space="preserve">Mars EDL is popularly known as the seven minutes of terror [3]. It describes the approximately seven-minute timeframe during which a vehicle enters the Martian atmosphere and touches down on the Martian surface. During this short period of time, the vehicle enters the Martian atmosphere at hypersonic speeds and experiences substantial heating and deceleration [5]. Next, a supersonic parachute is deployed while simultaneously separating the heat shield. Lastly, propulsion closer to the Martian surface ensures a safe landing [4].</w:t>
      </w:r>
    </w:p>
    <w:p>
      <w:pPr>
        <w:spacing w:after="160" w:before="0" w:line="240" w:lineRule="auto"/>
        <w:jc w:val="left"/>
      </w:pPr>
      <w:r>
        <w:rPr>
          <w:rFonts w:ascii="Times New Roman" w:cs="Times New Roman" w:eastAsia="Times New Roman" w:hAnsi="Times New Roman"/>
          <w:b w:val="false"/>
          <w:bCs w:val="false"/>
          <w:i w:val="false"/>
          <w:iCs w:val="false"/>
          <w:sz w:val="24"/>
          <w:szCs w:val="24"/>
        </w:rPr>
        <w:t xml:space="preserve">One of the most influential parameters that dictates atmospheric entry is the ballistic coefficient, which depends on the vehicle's mass, aerodynamic drag coefficient, and aeroshell area. The equation can be defined as such: β = m / (CD·A) [1]. Ballistic coefficient measures a vehicle's ability to overcome atmospheric drag [6]. A high ballistic coefficient applies to vehicles with less aerodynamic drag that plunge deep into an atmosphere before experiencing deceleration. A low ballistic coefficient applies to vehicles with more aerodynamic drag that experience deceleration higher in the atmosphere [2].</w:t>
      </w:r>
    </w:p>
    <w:p>
      <w:pPr>
        <w:spacing w:after="160" w:before="0" w:line="240" w:lineRule="auto"/>
        <w:jc w:val="left"/>
      </w:pPr>
      <w:r>
        <w:rPr>
          <w:rFonts w:ascii="Times New Roman" w:cs="Times New Roman" w:eastAsia="Times New Roman" w:hAnsi="Times New Roman"/>
          <w:b w:val="false"/>
          <w:bCs w:val="false"/>
          <w:i w:val="false"/>
          <w:iCs w:val="false"/>
          <w:sz w:val="24"/>
          <w:szCs w:val="24"/>
        </w:rPr>
        <w:t xml:space="preserve">Although much of the work published by NASA investigates the importance of ballistic coefficient, few studies have performed a systematic engineering tradeoff analysis of payload mass above one metric ton and aeroshell diameter and their combined impact on ballistic coefficient and resulting EDL performance [4,6]. This project will use the POST II trajectory simulation software to determine how variations in payload mass and aeroshell diameter influence ballistic coefficient and the resulting EDL performance of Mars vehicles. This study will identify design trends that will help inform future Mars EDL system development and provide a deeper understanding of engineering tradeoffs in EDL [1,6].</w:t>
      </w:r>
    </w:p>
    <w:p>
      <w:pPr>
        <w:spacing w:after="120" w:before="0" w:line="240" w:lineRule="auto"/>
        <w:jc w:val="left"/>
      </w:pPr>
      <w:r>
        <w:rPr>
          <w:rFonts w:ascii="Times New Roman" w:cs="Times New Roman" w:eastAsia="Times New Roman" w:hAnsi="Times New Roman"/>
          <w:b/>
          <w:bCs/>
          <w:i w:val="false"/>
          <w:iCs w:val="false"/>
          <w:sz w:val="26"/>
          <w:szCs w:val="26"/>
        </w:rPr>
        <w:t xml:space="preserve">2. Research Question(s), Hypothesis(es), Goals, Expected Outcomes</w:t>
      </w:r>
    </w:p>
    <w:p>
      <w:pPr>
        <w:spacing w:after="80" w:before="0" w:line="240" w:lineRule="auto"/>
        <w:jc w:val="left"/>
      </w:pPr>
      <w:r>
        <w:rPr>
          <w:rFonts w:ascii="Times New Roman" w:cs="Times New Roman" w:eastAsia="Times New Roman" w:hAnsi="Times New Roman"/>
          <w:b/>
          <w:bCs/>
          <w:i w:val="false"/>
          <w:iCs w:val="false"/>
          <w:sz w:val="24"/>
          <w:szCs w:val="24"/>
        </w:rPr>
        <w:t xml:space="preserve">Question or Problem:</w:t>
      </w:r>
    </w:p>
    <w:p>
      <w:pPr>
        <w:spacing w:after="160" w:before="0" w:line="240" w:lineRule="auto"/>
        <w:jc w:val="left"/>
      </w:pPr>
      <w:r>
        <w:rPr>
          <w:rFonts w:ascii="Times New Roman" w:cs="Times New Roman" w:eastAsia="Times New Roman" w:hAnsi="Times New Roman"/>
          <w:b w:val="false"/>
          <w:bCs w:val="false"/>
          <w:i w:val="false"/>
          <w:iCs w:val="false"/>
          <w:sz w:val="24"/>
          <w:szCs w:val="24"/>
        </w:rPr>
        <w:t xml:space="preserve">How do variations in payload mass and aeroshell diameter influence ballistic coefficient, and how do those changes affect the trajectory and landing performance of Mars entry, descent, and landing systems?</w:t>
      </w:r>
    </w:p>
    <w:p>
      <w:pPr>
        <w:spacing w:after="80" w:before="0" w:line="240" w:lineRule="auto"/>
        <w:jc w:val="left"/>
      </w:pPr>
      <w:r>
        <w:rPr>
          <w:rFonts w:ascii="Times New Roman" w:cs="Times New Roman" w:eastAsia="Times New Roman" w:hAnsi="Times New Roman"/>
          <w:b/>
          <w:bCs/>
          <w:i w:val="false"/>
          <w:iCs w:val="false"/>
          <w:sz w:val="24"/>
          <w:szCs w:val="24"/>
        </w:rPr>
        <w:t xml:space="preserve">Hypotheses:</w:t>
      </w:r>
    </w:p>
    <w:p>
      <w:pPr>
        <w:spacing w:after="160" w:before="0" w:line="240" w:lineRule="auto"/>
        <w:jc w:val="left"/>
      </w:pPr>
      <w:r>
        <w:rPr>
          <w:rFonts w:ascii="Times New Roman" w:cs="Times New Roman" w:eastAsia="Times New Roman" w:hAnsi="Times New Roman"/>
          <w:b w:val="false"/>
          <w:bCs w:val="false"/>
          <w:i w:val="false"/>
          <w:iCs w:val="false"/>
          <w:sz w:val="24"/>
          <w:szCs w:val="24"/>
        </w:rPr>
        <w:t xml:space="preserve">Increasing payload mass and/or decreasing aeroshell diameter will increase ballistic coefficient, resulting in steeper entry trajectories, lower parachute deployment altitudes, and reduced landing accuracy.</w:t>
      </w:r>
    </w:p>
    <w:p>
      <w:pPr>
        <w:spacing w:after="80" w:before="0" w:line="240" w:lineRule="auto"/>
        <w:jc w:val="left"/>
      </w:pPr>
      <w:r>
        <w:rPr>
          <w:rFonts w:ascii="Times New Roman" w:cs="Times New Roman" w:eastAsia="Times New Roman" w:hAnsi="Times New Roman"/>
          <w:b/>
          <w:bCs/>
          <w:i w:val="false"/>
          <w:iCs w:val="false"/>
          <w:sz w:val="24"/>
          <w:szCs w:val="24"/>
        </w:rPr>
        <w:t xml:space="preserve">Expected Outcomes:</w:t>
      </w:r>
    </w:p>
    <w:p>
      <w:pPr>
        <w:spacing w:after="160" w:before="0" w:line="240" w:lineRule="auto"/>
        <w:jc w:val="left"/>
      </w:pPr>
      <w:r>
        <w:rPr>
          <w:rFonts w:ascii="Times New Roman" w:cs="Times New Roman" w:eastAsia="Times New Roman" w:hAnsi="Times New Roman"/>
          <w:b w:val="false"/>
          <w:bCs w:val="false"/>
          <w:i w:val="false"/>
          <w:iCs w:val="false"/>
          <w:sz w:val="24"/>
          <w:szCs w:val="24"/>
        </w:rPr>
        <w:t xml:space="preserve">It is expected that there will be a positive relationship between payload mass and ballistic coefficient, and a negative relationship between aeroshell diameter and ballistic coefficient. It is expected that as ballistic coefficient increases, the vehicle's entry trajectory will steepen, peak deceleration and heating will occur at lower altitudes, and parachute deployment altitude will decrease, leaving a narrower margin for a safe landing. It is expected that the configurations with the highest ballistic coefficients, produced by the largest payload masses paired with the smallest aeroshell diameters, will approach or exceed the altitude and velocity limits at which a conventional supersonic parachute can reliably ensure a safe landing, illustrating the tradeoff between payload capacity and landing performance that constrains current Mars EDL architectures.</w:t>
      </w:r>
    </w:p>
    <w:p>
      <w:pPr>
        <w:spacing w:after="80" w:before="0" w:line="240" w:lineRule="auto"/>
        <w:jc w:val="left"/>
      </w:pPr>
      <w:r>
        <w:rPr>
          <w:rFonts w:ascii="Times New Roman" w:cs="Times New Roman" w:eastAsia="Times New Roman" w:hAnsi="Times New Roman"/>
          <w:b/>
          <w:bCs/>
          <w:i w:val="false"/>
          <w:iCs w:val="false"/>
          <w:sz w:val="24"/>
          <w:szCs w:val="24"/>
        </w:rPr>
        <w:t xml:space="preserve">Expected Timeline:</w:t>
      </w:r>
    </w:p>
    <w:p>
      <w:pPr>
        <w:spacing w:after="20" w:before="0" w:line="240" w:lineRule="auto"/>
        <w:jc w:val="left"/>
      </w:pPr>
      <w:r>
        <w:rPr>
          <w:rFonts w:ascii="Times New Roman" w:cs="Times New Roman" w:eastAsia="Times New Roman" w:hAnsi="Times New Roman"/>
          <w:b w:val="false"/>
          <w:bCs w:val="false"/>
          <w:i w:val="false"/>
          <w:iCs w:val="false"/>
          <w:sz w:val="24"/>
          <w:szCs w:val="24"/>
        </w:rPr>
        <w:t xml:space="preserve">Start Date: 7/19/2026</w:t>
      </w:r>
    </w:p>
    <w:p>
      <w:pPr>
        <w:spacing w:after="160" w:before="0" w:line="240" w:lineRule="auto"/>
        <w:jc w:val="left"/>
      </w:pPr>
      <w:r>
        <w:rPr>
          <w:rFonts w:ascii="Times New Roman" w:cs="Times New Roman" w:eastAsia="Times New Roman" w:hAnsi="Times New Roman"/>
          <w:b w:val="false"/>
          <w:bCs w:val="false"/>
          <w:i w:val="false"/>
          <w:iCs w:val="false"/>
          <w:sz w:val="24"/>
          <w:szCs w:val="24"/>
        </w:rPr>
        <w:t xml:space="preserve">Anticipated End Date: 12/1/2026</w:t>
      </w:r>
    </w:p>
    <w:p>
      <w:pPr>
        <w:spacing w:after="120" w:before="0" w:line="240" w:lineRule="auto"/>
        <w:jc w:val="left"/>
      </w:pPr>
      <w:r>
        <w:rPr>
          <w:rFonts w:ascii="Times New Roman" w:cs="Times New Roman" w:eastAsia="Times New Roman" w:hAnsi="Times New Roman"/>
          <w:b/>
          <w:bCs/>
          <w:i w:val="false"/>
          <w:iCs w:val="false"/>
          <w:sz w:val="26"/>
          <w:szCs w:val="26"/>
        </w:rPr>
        <w:t xml:space="preserve">3. Methodology</w:t>
      </w:r>
    </w:p>
    <w:p>
      <w:pPr>
        <w:spacing w:after="80" w:before="0" w:line="240" w:lineRule="auto"/>
        <w:jc w:val="left"/>
      </w:pPr>
      <w:r>
        <w:rPr>
          <w:rFonts w:ascii="Times New Roman" w:cs="Times New Roman" w:eastAsia="Times New Roman" w:hAnsi="Times New Roman"/>
          <w:b/>
          <w:bCs/>
          <w:i w:val="false"/>
          <w:iCs w:val="false"/>
          <w:sz w:val="24"/>
          <w:szCs w:val="24"/>
        </w:rPr>
        <w:t xml:space="preserve">Role of Mentor:</w:t>
      </w:r>
    </w:p>
    <w:p>
      <w:pPr>
        <w:spacing w:after="160" w:before="0" w:line="240" w:lineRule="auto"/>
        <w:jc w:val="left"/>
      </w:pPr>
      <w:r>
        <w:rPr>
          <w:rFonts w:ascii="Times New Roman" w:cs="Times New Roman" w:eastAsia="Times New Roman" w:hAnsi="Times New Roman"/>
          <w:b w:val="false"/>
          <w:bCs w:val="false"/>
          <w:i w:val="false"/>
          <w:iCs w:val="false"/>
          <w:sz w:val="24"/>
          <w:szCs w:val="24"/>
        </w:rPr>
        <w:t xml:space="preserve">The mentor will provide access to the POST II simulation software and will be available to answer questions about setting up and troubleshooting simulation runs.</w:t>
      </w:r>
    </w:p>
    <w:p>
      <w:pPr>
        <w:spacing w:after="80" w:before="0" w:line="240" w:lineRule="auto"/>
        <w:jc w:val="left"/>
      </w:pPr>
      <w:r>
        <w:rPr>
          <w:rFonts w:ascii="Times New Roman" w:cs="Times New Roman" w:eastAsia="Times New Roman" w:hAnsi="Times New Roman"/>
          <w:b/>
          <w:bCs/>
          <w:i w:val="false"/>
          <w:iCs w:val="false"/>
          <w:sz w:val="24"/>
          <w:szCs w:val="24"/>
        </w:rPr>
        <w:t xml:space="preserve">Role of Student Researcher(s):</w:t>
      </w:r>
    </w:p>
    <w:p>
      <w:pPr>
        <w:spacing w:after="160" w:before="0" w:line="240" w:lineRule="auto"/>
        <w:jc w:val="left"/>
      </w:pPr>
      <w:r>
        <w:rPr>
          <w:rFonts w:ascii="Times New Roman" w:cs="Times New Roman" w:eastAsia="Times New Roman" w:hAnsi="Times New Roman"/>
          <w:b w:val="false"/>
          <w:bCs w:val="false"/>
          <w:i w:val="false"/>
          <w:iCs w:val="false"/>
          <w:sz w:val="24"/>
          <w:szCs w:val="24"/>
        </w:rPr>
        <w:t xml:space="preserve">I will be fully in charge of all data collection. This includes running the simulation, setting parameters, and analyzing data.</w:t>
      </w:r>
    </w:p>
    <w:p>
      <w:pPr>
        <w:spacing w:after="80" w:before="0" w:line="240" w:lineRule="auto"/>
        <w:jc w:val="left"/>
      </w:pPr>
      <w:r>
        <w:rPr>
          <w:rFonts w:ascii="Times New Roman" w:cs="Times New Roman" w:eastAsia="Times New Roman" w:hAnsi="Times New Roman"/>
          <w:b/>
          <w:bCs/>
          <w:i w:val="false"/>
          <w:iCs w:val="false"/>
          <w:sz w:val="24"/>
          <w:szCs w:val="24"/>
        </w:rPr>
        <w:t xml:space="preserve">Source of Data:</w:t>
      </w:r>
    </w:p>
    <w:p>
      <w:pPr>
        <w:spacing w:after="160" w:before="0" w:line="240" w:lineRule="auto"/>
        <w:jc w:val="left"/>
      </w:pPr>
      <w:r>
        <w:rPr>
          <w:rFonts w:ascii="Times New Roman" w:cs="Times New Roman" w:eastAsia="Times New Roman" w:hAnsi="Times New Roman"/>
          <w:b w:val="false"/>
          <w:bCs w:val="false"/>
          <w:i w:val="false"/>
          <w:iCs w:val="false"/>
          <w:sz w:val="24"/>
          <w:szCs w:val="24"/>
        </w:rPr>
        <w:t xml:space="preserve">Data will be generated using POST II (Program to Optimize Simulated Trajectories II), a NASA six-degree-of-freedom trajectory simulation program that has been used to support Mars entry, descent, and landing analysis for missions such as Mars Science Laboratory and Mars 2020. All data will be generated directly from simulation runs that I configure and execute; no external human-subject or third-party data will be used.</w:t>
      </w:r>
    </w:p>
    <w:p>
      <w:pPr>
        <w:spacing w:after="80" w:before="0" w:line="240" w:lineRule="auto"/>
        <w:jc w:val="left"/>
      </w:pPr>
      <w:r>
        <w:rPr>
          <w:rFonts w:ascii="Times New Roman" w:cs="Times New Roman" w:eastAsia="Times New Roman" w:hAnsi="Times New Roman"/>
          <w:b/>
          <w:bCs/>
          <w:i w:val="false"/>
          <w:iCs w:val="false"/>
          <w:sz w:val="24"/>
          <w:szCs w:val="24"/>
        </w:rPr>
        <w:t xml:space="preserve">Procedures:</w:t>
      </w:r>
    </w:p>
    <w:p>
      <w:pPr>
        <w:spacing w:after="160" w:before="0" w:line="240" w:lineRule="auto"/>
        <w:jc w:val="left"/>
      </w:pPr>
      <w:r>
        <w:rPr>
          <w:rFonts w:ascii="Times New Roman" w:cs="Times New Roman" w:eastAsia="Times New Roman" w:hAnsi="Times New Roman"/>
          <w:b w:val="false"/>
          <w:bCs w:val="false"/>
          <w:i w:val="false"/>
          <w:iCs w:val="false"/>
          <w:sz w:val="24"/>
          <w:szCs w:val="24"/>
        </w:rPr>
        <w:t xml:space="preserve">A Mars entry, descent, and landing environment will be created in POST II, incorporating Martian gravity and atmospheric density models. Vehicle parameters, including mass, aerodynamic drag coefficient, and aeroshell diameter, will be defined for each simulation run. A baseline Mars EDL vehicle will be defined using values from previous successful Mars lander missions, and ballistic coefficient will be calculated using the equation β = m / (CD·A), where m is the vehicle mass, CD is the drag coefficient, and A is the aeroshell cross-sectional area. Payload mass will then be varied across a range of values above one metric ton while aeroshell diameter is held constant at the baseline value, and aeroshell diameter will be varied across a range of values while payload mass is held constant at the baseline value. For each trial, output values, including ballistic coefficient, entry trajectory, deceleration, and parachute deployment altitude, will be recorded.</w:t>
      </w:r>
    </w:p>
    <w:p>
      <w:pPr>
        <w:spacing w:after="80" w:before="0" w:line="240" w:lineRule="auto"/>
        <w:jc w:val="left"/>
      </w:pPr>
      <w:r>
        <w:rPr>
          <w:rFonts w:ascii="Times New Roman" w:cs="Times New Roman" w:eastAsia="Times New Roman" w:hAnsi="Times New Roman"/>
          <w:b/>
          <w:bCs/>
          <w:i w:val="false"/>
          <w:iCs w:val="false"/>
          <w:sz w:val="24"/>
          <w:szCs w:val="24"/>
        </w:rPr>
        <w:t xml:space="preserve">Risk and Safety:</w:t>
      </w:r>
    </w:p>
    <w:p>
      <w:pPr>
        <w:spacing w:after="160" w:before="0" w:line="240" w:lineRule="auto"/>
        <w:jc w:val="left"/>
      </w:pPr>
      <w:r>
        <w:rPr>
          <w:rFonts w:ascii="Times New Roman" w:cs="Times New Roman" w:eastAsia="Times New Roman" w:hAnsi="Times New Roman"/>
          <w:b w:val="false"/>
          <w:bCs w:val="false"/>
          <w:i w:val="false"/>
          <w:iCs w:val="false"/>
          <w:sz w:val="24"/>
          <w:szCs w:val="24"/>
        </w:rPr>
        <w:t xml:space="preserve">N/A</w:t>
      </w:r>
    </w:p>
    <w:p>
      <w:pPr>
        <w:spacing w:after="80" w:before="0" w:line="240" w:lineRule="auto"/>
        <w:jc w:val="left"/>
      </w:pPr>
      <w:r>
        <w:rPr>
          <w:rFonts w:ascii="Times New Roman" w:cs="Times New Roman" w:eastAsia="Times New Roman" w:hAnsi="Times New Roman"/>
          <w:b/>
          <w:bCs/>
          <w:i w:val="false"/>
          <w:iCs w:val="false"/>
          <w:sz w:val="24"/>
          <w:szCs w:val="24"/>
        </w:rPr>
        <w:t xml:space="preserve">Data Analysis:</w:t>
      </w:r>
    </w:p>
    <w:p>
      <w:pPr>
        <w:spacing w:after="160" w:before="0" w:line="240" w:lineRule="auto"/>
        <w:jc w:val="left"/>
      </w:pPr>
      <w:r>
        <w:rPr>
          <w:rFonts w:ascii="Times New Roman" w:cs="Times New Roman" w:eastAsia="Times New Roman" w:hAnsi="Times New Roman"/>
          <w:b w:val="false"/>
          <w:bCs w:val="false"/>
          <w:i w:val="false"/>
          <w:iCs w:val="false"/>
          <w:sz w:val="24"/>
          <w:szCs w:val="24"/>
        </w:rPr>
        <w:t xml:space="preserve">Data will be analyzed using descriptive statistics and linear regression, performed in Google Sheets. Raw simulation outputs, including ballistic coefficient, trajectory data, deceleration, and parachute deployment altitude, will be recorded in Google Sheets for each trial. Descriptive statistics (mean, range, and percent change from the baseline vehicle) will summarize how each output variable shifts as payload mass and aeroshell diameter are varied. Linear regression will be used to quantify the strength and direction of the relationship between ballistic coefficient and each landing performance metric, showing which design parameter has the greatest effect on landing performance. All graphs, including ballistic coefficient versus payload mass, ballistic coefficient versus aeroshell diameter, and ballistic coefficient versus landing performance metrics, will be created in Google Sheets.</w:t>
      </w:r>
    </w:p>
    <w:p>
      <w:pPr>
        <w:spacing w:after="120" w:before="0" w:line="240" w:lineRule="auto"/>
        <w:jc w:val="left"/>
      </w:pPr>
      <w:r>
        <w:rPr>
          <w:rFonts w:ascii="Times New Roman" w:cs="Times New Roman" w:eastAsia="Times New Roman" w:hAnsi="Times New Roman"/>
          <w:b/>
          <w:bCs/>
          <w:i w:val="false"/>
          <w:iCs w:val="false"/>
          <w:sz w:val="26"/>
          <w:szCs w:val="26"/>
        </w:rPr>
        <w:t xml:space="preserve">4. References / Bibliography</w:t>
      </w:r>
    </w:p>
    <w:p>
      <w:pPr>
        <w:spacing w:after="100" w:before="0" w:line="240" w:lineRule="auto"/>
        <w:ind w:left="360" w:hanging="360"/>
      </w:pPr>
      <w:r>
        <w:rPr>
          <w:rFonts w:ascii="Times New Roman" w:cs="Times New Roman" w:eastAsia="Times New Roman" w:hAnsi="Times New Roman"/>
          <w:sz w:val="24"/>
          <w:szCs w:val="24"/>
        </w:rPr>
        <w:t xml:space="preserve">1. Braun, R. D., &amp; Manning, R. M. (2007). Mars Exploration Entry, Descent and Landing Challenges. Journal of Spacecraft and Rockets, 44(2), 310–323.</w:t>
      </w:r>
    </w:p>
    <w:p>
      <w:pPr>
        <w:spacing w:after="100" w:before="0" w:line="240" w:lineRule="auto"/>
        <w:ind w:left="360" w:hanging="360"/>
      </w:pPr>
      <w:r>
        <w:rPr>
          <w:rFonts w:ascii="Times New Roman" w:cs="Times New Roman" w:eastAsia="Times New Roman" w:hAnsi="Times New Roman"/>
          <w:sz w:val="24"/>
          <w:szCs w:val="24"/>
        </w:rPr>
        <w:t xml:space="preserve">2. Way, D. W., et al. (2007). Mars Science Laboratory: Entry, Descent, and Landing System Performance. IEEE Aerospace Conference. NASA Technical Report. https://ntrs.nasa.gov/archive/nasa/casi.ntrs.nasa.gov/20070016022.pdf</w:t>
      </w:r>
    </w:p>
    <w:p>
      <w:pPr>
        <w:spacing w:after="100" w:before="0" w:line="240" w:lineRule="auto"/>
        <w:ind w:left="360" w:hanging="360"/>
      </w:pPr>
      <w:r>
        <w:rPr>
          <w:rFonts w:ascii="Times New Roman" w:cs="Times New Roman" w:eastAsia="Times New Roman" w:hAnsi="Times New Roman"/>
          <w:sz w:val="24"/>
          <w:szCs w:val="24"/>
        </w:rPr>
        <w:t xml:space="preserve">3. Munk, M. M. Mars Entry, Descent and Landing (EDL). NASA Langley Research Center / Keck Institute for Space Studies Presentation. https://www.kiss.caltech.edu/workshops/access2mars/presentations/Munk.pdf</w:t>
      </w:r>
    </w:p>
    <w:p>
      <w:pPr>
        <w:spacing w:after="100" w:before="0" w:line="240" w:lineRule="auto"/>
        <w:ind w:left="360" w:hanging="360"/>
      </w:pPr>
      <w:r>
        <w:rPr>
          <w:rFonts w:ascii="Times New Roman" w:cs="Times New Roman" w:eastAsia="Times New Roman" w:hAnsi="Times New Roman"/>
          <w:sz w:val="24"/>
          <w:szCs w:val="24"/>
        </w:rPr>
        <w:t xml:space="preserve">4. Korzun, A. M., Cruz, J. R., &amp; Braun, R. D. (2010). Survey of Supersonic Retropropulsion Technology for Mars Entry, Descent, and Landing. AIAA. https://www.academia.edu/18013312/Survey_of_Supersonic_Retropropulsion_Technology_for_Mars_Entry_Descent_and_Landing</w:t>
      </w:r>
    </w:p>
    <w:p>
      <w:pPr>
        <w:spacing w:after="100" w:before="0" w:line="240" w:lineRule="auto"/>
        <w:ind w:left="360" w:hanging="360"/>
      </w:pPr>
      <w:r>
        <w:rPr>
          <w:rFonts w:ascii="Times New Roman" w:cs="Times New Roman" w:eastAsia="Times New Roman" w:hAnsi="Times New Roman"/>
          <w:sz w:val="24"/>
          <w:szCs w:val="24"/>
        </w:rPr>
        <w:t xml:space="preserve">5. Hughes, S. J., et al. (2018). Modeling and Flight Performance of the Mars 2020 Supersonic Disk-Gap-Band Parachute. NASA Technical Report. https://ntrs.nasa.gov/archive/nasa/casi.ntrs.nasa.gov/20180007853.pdf</w:t>
      </w:r>
    </w:p>
    <w:p>
      <w:pPr>
        <w:spacing w:after="100" w:before="0" w:line="240" w:lineRule="auto"/>
        <w:ind w:left="360" w:hanging="360"/>
      </w:pPr>
      <w:r>
        <w:rPr>
          <w:rFonts w:ascii="Times New Roman" w:cs="Times New Roman" w:eastAsia="Times New Roman" w:hAnsi="Times New Roman"/>
          <w:sz w:val="24"/>
          <w:szCs w:val="24"/>
        </w:rPr>
        <w:t xml:space="preserve">6. Prince, J. L., et al. Mars Entry, Descent and Landing Parametric Sizing and Design Space Analysis. https://www.scispace.com/pdf/mars-entry-descent-and-landing-parametric-sizing-and-design-5z40g7te9y.pdf</w:t>
      </w:r>
    </w:p>
    <w:p>
      <w:r>
        <w:br w:type="page"/>
      </w:r>
    </w:p>
    <w:p>
      <w:pPr>
        <w:spacing w:after="120" w:before="0" w:line="240" w:lineRule="auto"/>
        <w:jc w:val="left"/>
      </w:pPr>
      <w:r>
        <w:rPr>
          <w:rFonts w:ascii="Times New Roman" w:cs="Times New Roman" w:eastAsia="Times New Roman" w:hAnsi="Times New Roman"/>
          <w:b/>
          <w:bCs/>
          <w:i w:val="false"/>
          <w:iCs w:val="false"/>
          <w:sz w:val="26"/>
          <w:szCs w:val="26"/>
        </w:rPr>
        <w:t xml:space="preserve">Appendix: Extended Literature Review</w:t>
      </w:r>
    </w:p>
    <w:p>
      <w:pPr>
        <w:spacing w:after="160" w:before="0" w:line="240" w:lineRule="auto"/>
        <w:jc w:val="left"/>
      </w:pPr>
      <w:r>
        <w:rPr>
          <w:rFonts w:ascii="Times New Roman" w:cs="Times New Roman" w:eastAsia="Times New Roman" w:hAnsi="Times New Roman"/>
          <w:b w:val="false"/>
          <w:bCs w:val="false"/>
          <w:i/>
          <w:iCs/>
          <w:sz w:val="24"/>
          <w:szCs w:val="24"/>
        </w:rPr>
        <w:t xml:space="preserve">(For use with Forms 1C, 4, 5A, 5B, 6A, or 6B, if required for this project.)</w:t>
      </w:r>
    </w:p>
    <w:p>
      <w:pPr>
        <w:spacing w:after="160" w:before="0" w:line="240" w:lineRule="auto"/>
        <w:jc w:val="left"/>
      </w:pPr>
      <w:r>
        <w:rPr>
          <w:rFonts w:ascii="Times New Roman" w:cs="Times New Roman" w:eastAsia="Times New Roman" w:hAnsi="Times New Roman"/>
          <w:b w:val="false"/>
          <w:bCs w:val="false"/>
          <w:i w:val="false"/>
          <w:iCs w:val="false"/>
          <w:sz w:val="24"/>
          <w:szCs w:val="24"/>
        </w:rPr>
        <w:t xml:space="preserve">Every robotic lander NASA has safely delivered to the Martian surface to this date still falls short of the multi-ton payloads that future sample return and manned missions require for Mars exploration. Viking landed roughly 600 kilograms in 1976. Mars Science Laboratory and Perseverance landed 3,200 kilogram entry vehicles decades later, still short of one metric ton of useful payload [3,9]. This challenge is not simply a matter of getting the desired payload into the Martian atmosphere, but rather the constraints of Mars entry, descent, and landing (EDL). Mars's atmospheric density is roughly 1/100th the density of Earth's atmosphere. It is thick enough to generate severe aerodynamic heating during hypersonic atmospheric entry but too thin to provide the drag needed to sustain a controlled landing. For this reason, NASA engineers frequently call the riskiest phase of any Mars mission the “Seven Minutes of Terror” [15].</w:t>
      </w:r>
    </w:p>
    <w:p>
      <w:pPr>
        <w:spacing w:after="160" w:before="0" w:line="240" w:lineRule="auto"/>
        <w:jc w:val="left"/>
      </w:pPr>
      <w:r>
        <w:rPr>
          <w:rFonts w:ascii="Times New Roman" w:cs="Times New Roman" w:eastAsia="Times New Roman" w:hAnsi="Times New Roman"/>
          <w:b w:val="false"/>
          <w:bCs w:val="false"/>
          <w:i w:val="false"/>
          <w:iCs w:val="false"/>
          <w:sz w:val="24"/>
          <w:szCs w:val="24"/>
        </w:rPr>
        <w:t xml:space="preserve">The parameter that most directly affects how a vehicle performs during its entry phase is its ballistic coefficient, β = m / (CD·A). The ballistic coefficient relates a vehicle's mass to its drag coefficient and aeroshell cross-sectional area [10]. A high ballistic coefficient usually results from a heavy payload paired with a comparatively smaller aeroshell. It causes the vehicle to decelerate deeper into the atmosphere, which shortens the time available for parachute deployment and to reach terminal velocity. A low ballistic coefficient allows the vehicle to decelerate at a higher altitude, which requires a relatively larger aeroshell [3].</w:t>
      </w:r>
    </w:p>
    <w:p>
      <w:pPr>
        <w:spacing w:after="160" w:before="0" w:line="240" w:lineRule="auto"/>
        <w:jc w:val="left"/>
      </w:pPr>
      <w:r>
        <w:rPr>
          <w:rFonts w:ascii="Times New Roman" w:cs="Times New Roman" w:eastAsia="Times New Roman" w:hAnsi="Times New Roman"/>
          <w:b w:val="false"/>
          <w:bCs w:val="false"/>
          <w:i w:val="false"/>
          <w:iCs w:val="false"/>
          <w:sz w:val="24"/>
          <w:szCs w:val="24"/>
        </w:rPr>
        <w:t xml:space="preserve">Specific mission studies show how steep this tradeoff becomes as payload mass increases. A NASA Langley study used the POST II trajectory optimization software to compare five EDL architectures for delivering a payload of 1,800 kilograms to Mars. Every concept required an entry mass two to three times the landed payload mass, and all aeroshell designs were constrained to a 4.572 meter diameter [6]. Parametric mass studies for larger, human-scale vehicle architectures show that aeroshells must be 10 meters or more in diameter before a design can carry the tens of metric tons needed for a crewed Mars mission, an increase in diameter that comes at the expense of additional thermal protection and heat shield mass [16]. Broader studies have shown how ballistic coefficient affects peak deceleration, heat rate, and total heat load [10]. Compared to Venus or Earth sample return missions, Mars entry conditions are relatively mild, making Mars more suitable for larger deployable and inflatable decelerators [11]. Even extremely low ballistic coefficient concepts demonstrate this principle at a smaller scale: centimeter-scale ChipSat probes modeled with MATLAB-based entry simulations show how strongly a vehicle's mass-to-area ratio governs its descent behavior, even for spacecraft designed for different planets [19].</w:t>
      </w:r>
    </w:p>
    <w:p>
      <w:pPr>
        <w:spacing w:after="160" w:before="0" w:line="240" w:lineRule="auto"/>
        <w:jc w:val="left"/>
      </w:pPr>
      <w:r>
        <w:rPr>
          <w:rFonts w:ascii="Times New Roman" w:cs="Times New Roman" w:eastAsia="Times New Roman" w:hAnsi="Times New Roman"/>
          <w:b w:val="false"/>
          <w:bCs w:val="false"/>
          <w:i w:val="false"/>
          <w:iCs w:val="false"/>
          <w:sz w:val="24"/>
          <w:szCs w:val="24"/>
        </w:rPr>
        <w:t xml:space="preserve">What remains overlooked in existing literature is a simulation-based study that varies payload mass and aeroshell diameter above a one metric ton threshold to map their combined effect on ballistic coefficient and the resulting trajectory and landing performance of a Mars EDL vehicle. Existing tradeoff studies tend to compare fixed vehicle concepts rather than exploring a full range of possible designs [6,16]. This study will use the commercial version of NASA's POST II V5 trajectory simulation software to address that gap. It will systematically vary payload mass and aeroshell diameter for a Mars EDL vehicle and record the resulting ballistic coefficient, trajectory, and parachute deployment altitude for each scenario. By identifying how these design parameters trade off against one another, this study will show design trends that will help inform future Mars EDL architectures capable of delivering substantially heavier payloads to the Martian surface.</w:t>
      </w:r>
    </w:p>
    <w:p>
      <w:pPr>
        <w:spacing w:after="80" w:before="0" w:line="240" w:lineRule="auto"/>
        <w:jc w:val="left"/>
      </w:pPr>
      <w:r>
        <w:rPr>
          <w:rFonts w:ascii="Times New Roman" w:cs="Times New Roman" w:eastAsia="Times New Roman" w:hAnsi="Times New Roman"/>
          <w:b/>
          <w:bCs/>
          <w:i w:val="false"/>
          <w:iCs w:val="false"/>
          <w:sz w:val="24"/>
          <w:szCs w:val="24"/>
        </w:rPr>
        <w:t xml:space="preserve">References</w:t>
      </w:r>
    </w:p>
    <w:p>
      <w:pPr>
        <w:spacing w:after="100" w:before="0" w:line="240" w:lineRule="auto"/>
        <w:ind w:left="360" w:hanging="360"/>
      </w:pPr>
      <w:r>
        <w:rPr>
          <w:rFonts w:ascii="Times New Roman" w:cs="Times New Roman" w:eastAsia="Times New Roman" w:hAnsi="Times New Roman"/>
          <w:sz w:val="24"/>
          <w:szCs w:val="24"/>
        </w:rPr>
        <w:t xml:space="preserve">1. Alemany, K., Wells, G. W., Theisinger, J., Clark, I. G., &amp; Braun, R. D. (2006). Mars entry, descent, and landing parametric sizing and design space visualization trades. AIAA/AAS Astrodynamics Specialist Conference.</w:t>
      </w:r>
    </w:p>
    <w:p>
      <w:pPr>
        <w:spacing w:after="100" w:before="0" w:line="240" w:lineRule="auto"/>
        <w:ind w:left="360" w:hanging="360"/>
      </w:pPr>
      <w:r>
        <w:rPr>
          <w:rFonts w:ascii="Times New Roman" w:cs="Times New Roman" w:eastAsia="Times New Roman" w:hAnsi="Times New Roman"/>
          <w:sz w:val="24"/>
          <w:szCs w:val="24"/>
        </w:rPr>
        <w:t xml:space="preserve">2. Anderson, T. R., Putnam, Z. R., &amp; Braun, R. D. (2016). Strategies for landing large ballistic coefficient vehicles on Mars. AIAA Atmospheric Flight Mechanics Conference. https://doi.org/10.2514/6.2016-0021</w:t>
      </w:r>
    </w:p>
    <w:p>
      <w:pPr>
        <w:spacing w:after="100" w:before="0" w:line="240" w:lineRule="auto"/>
        <w:ind w:left="360" w:hanging="360"/>
      </w:pPr>
      <w:r>
        <w:rPr>
          <w:rFonts w:ascii="Times New Roman" w:cs="Times New Roman" w:eastAsia="Times New Roman" w:hAnsi="Times New Roman"/>
          <w:sz w:val="24"/>
          <w:szCs w:val="24"/>
        </w:rPr>
        <w:t xml:space="preserve">3. Braun, R. D., &amp; Manning, R. M. (2007). Mars exploration entry, descent and landing challenges. Journal of Spacecraft and Rockets, 44(2), 310–323. https://doi.org/10.2514/1.25116</w:t>
      </w:r>
    </w:p>
    <w:p>
      <w:pPr>
        <w:spacing w:after="100" w:before="0" w:line="240" w:lineRule="auto"/>
        <w:ind w:left="360" w:hanging="360"/>
      </w:pPr>
      <w:r>
        <w:rPr>
          <w:rFonts w:ascii="Times New Roman" w:cs="Times New Roman" w:eastAsia="Times New Roman" w:hAnsi="Times New Roman"/>
          <w:sz w:val="24"/>
          <w:szCs w:val="24"/>
        </w:rPr>
        <w:t xml:space="preserve">4. Cianciolo, A. D., Zang, T. A., Sostaric, R. R., &amp; McGuire, M. K. (2011). Overview of the NASA entry, descent and landing systems analysis exploration feed-forward study. NASA Technical Reports Server. https://ntrs.nasa.gov/api/citations/20110012453/downloads/20110012453.pdf</w:t>
      </w:r>
    </w:p>
    <w:p>
      <w:pPr>
        <w:spacing w:after="100" w:before="0" w:line="240" w:lineRule="auto"/>
        <w:ind w:left="360" w:hanging="360"/>
      </w:pPr>
      <w:r>
        <w:rPr>
          <w:rFonts w:ascii="Times New Roman" w:cs="Times New Roman" w:eastAsia="Times New Roman" w:hAnsi="Times New Roman"/>
          <w:sz w:val="24"/>
          <w:szCs w:val="24"/>
        </w:rPr>
        <w:t xml:space="preserve">5. Cianciolo, A. D., &amp; Brown, K. (2015). EDL systems analysis: HIAD-based Mars heavy payload architecture study. NASA Technical Reports Server. https://ntrs.nasa.gov/api/citations/20160006319/downloads/20160006319.pdf</w:t>
      </w:r>
    </w:p>
    <w:p>
      <w:pPr>
        <w:spacing w:after="100" w:before="0" w:line="240" w:lineRule="auto"/>
        <w:ind w:left="360" w:hanging="360"/>
      </w:pPr>
      <w:r>
        <w:rPr>
          <w:rFonts w:ascii="Times New Roman" w:cs="Times New Roman" w:eastAsia="Times New Roman" w:hAnsi="Times New Roman"/>
          <w:sz w:val="24"/>
          <w:szCs w:val="24"/>
        </w:rPr>
        <w:t xml:space="preserve">6. Cruz, J. R., Cianciolo, A. D., Powell, R. W., Simonsen, L. C., &amp; Tolson, R. H. (2005). Entry, descent, and landing technology concept trade study for increasing payload mass to the surface of Mars. NASA Technical Reports Server. https://ntrs.nasa.gov/api/citations/20050158774/downloads/20050158774.pdf</w:t>
      </w:r>
    </w:p>
    <w:p>
      <w:pPr>
        <w:spacing w:after="100" w:before="0" w:line="240" w:lineRule="auto"/>
        <w:ind w:left="360" w:hanging="360"/>
      </w:pPr>
      <w:r>
        <w:rPr>
          <w:rFonts w:ascii="Times New Roman" w:cs="Times New Roman" w:eastAsia="Times New Roman" w:hAnsi="Times New Roman"/>
          <w:sz w:val="24"/>
          <w:szCs w:val="24"/>
        </w:rPr>
        <w:t xml:space="preserve">7. Dillman, R. (2015). Entry descent and landing workshop proceedings: Inflatable Reentry Vehicle Experiment-3 (IRVE-3) project overview &amp; instrumentation. NASA Technical Reports Server. https://ntrs.nasa.gov/api/citations/20170002210/downloads/20170002210.pdf</w:t>
      </w:r>
    </w:p>
    <w:p>
      <w:pPr>
        <w:spacing w:after="100" w:before="0" w:line="240" w:lineRule="auto"/>
        <w:ind w:left="360" w:hanging="360"/>
      </w:pPr>
      <w:r>
        <w:rPr>
          <w:rFonts w:ascii="Times New Roman" w:cs="Times New Roman" w:eastAsia="Times New Roman" w:hAnsi="Times New Roman"/>
          <w:sz w:val="24"/>
          <w:szCs w:val="24"/>
        </w:rPr>
        <w:t xml:space="preserve">8. Gaudet, B., Linares, R., &amp; Furfaro, R. (2018). Deep reinforcement learning for six degree-of-freedom planetary powered descent and landing. arXiv. https://doi.org/10.48550/arXiv.1810.08719</w:t>
      </w:r>
    </w:p>
    <w:p>
      <w:pPr>
        <w:spacing w:after="100" w:before="0" w:line="240" w:lineRule="auto"/>
        <w:ind w:left="360" w:hanging="360"/>
      </w:pPr>
      <w:r>
        <w:rPr>
          <w:rFonts w:ascii="Times New Roman" w:cs="Times New Roman" w:eastAsia="Times New Roman" w:hAnsi="Times New Roman"/>
          <w:sz w:val="24"/>
          <w:szCs w:val="24"/>
        </w:rPr>
        <w:t xml:space="preserve">9. Girija, A. P. (2023a). Planetary entry probe dataset: Analysis and rules of thumb for future missions. arXiv. https://doi.org/10.48550/arXiv.2308.07005</w:t>
      </w:r>
    </w:p>
    <w:p>
      <w:pPr>
        <w:spacing w:after="100" w:before="0" w:line="240" w:lineRule="auto"/>
        <w:ind w:left="360" w:hanging="360"/>
      </w:pPr>
      <w:r>
        <w:rPr>
          <w:rFonts w:ascii="Times New Roman" w:cs="Times New Roman" w:eastAsia="Times New Roman" w:hAnsi="Times New Roman"/>
          <w:sz w:val="24"/>
          <w:szCs w:val="24"/>
        </w:rPr>
        <w:t xml:space="preserve">10. Girija, A. P. (2023b). A survey of the design trade space for atmospheric entry, descent, and landing missions. arXiv. https://doi.org/10.48550/arXiv.2308.03238</w:t>
      </w:r>
    </w:p>
    <w:p>
      <w:pPr>
        <w:spacing w:after="100" w:before="0" w:line="240" w:lineRule="auto"/>
        <w:ind w:left="360" w:hanging="360"/>
      </w:pPr>
      <w:r>
        <w:rPr>
          <w:rFonts w:ascii="Times New Roman" w:cs="Times New Roman" w:eastAsia="Times New Roman" w:hAnsi="Times New Roman"/>
          <w:sz w:val="24"/>
          <w:szCs w:val="24"/>
        </w:rPr>
        <w:t xml:space="preserve">11. Girija, A. P. (2023c). Thermal protection system requirements for future planetary entry and aerocapture missions. arXiv. https://doi.org/10.48550/arXiv.2309.01938</w:t>
      </w:r>
    </w:p>
    <w:p>
      <w:pPr>
        <w:spacing w:after="100" w:before="0" w:line="240" w:lineRule="auto"/>
        <w:ind w:left="360" w:hanging="360"/>
      </w:pPr>
      <w:r>
        <w:rPr>
          <w:rFonts w:ascii="Times New Roman" w:cs="Times New Roman" w:eastAsia="Times New Roman" w:hAnsi="Times New Roman"/>
          <w:sz w:val="24"/>
          <w:szCs w:val="24"/>
        </w:rPr>
        <w:t xml:space="preserve">12. Korzun, A. M., Braun, R. D., &amp; Cruz, J. R. (2009). Survey of supersonic retropropulsion technology for Mars entry, descent, and landing. Journal of Spacecraft and Rockets, 46(5), 929–937. https://doi.org/10.2514/1.41161</w:t>
      </w:r>
    </w:p>
    <w:p>
      <w:pPr>
        <w:spacing w:after="100" w:before="0" w:line="240" w:lineRule="auto"/>
        <w:ind w:left="360" w:hanging="360"/>
      </w:pPr>
      <w:r>
        <w:rPr>
          <w:rFonts w:ascii="Times New Roman" w:cs="Times New Roman" w:eastAsia="Times New Roman" w:hAnsi="Times New Roman"/>
          <w:sz w:val="24"/>
          <w:szCs w:val="24"/>
        </w:rPr>
        <w:t xml:space="preserve">13. McSween, H. Y., Jr., Hamilton, V. E., &amp; Farley, K. A. (2024). Perspectives on Mars sample return: A critical resource for planetary science and exploration. Proceedings of the National Academy of Sciences, 122(2), Article e2404248121. https://doi.org/10.1073/pnas.2404248121</w:t>
      </w:r>
    </w:p>
    <w:p>
      <w:pPr>
        <w:spacing w:after="100" w:before="0" w:line="240" w:lineRule="auto"/>
        <w:ind w:left="360" w:hanging="360"/>
      </w:pPr>
      <w:r>
        <w:rPr>
          <w:rFonts w:ascii="Times New Roman" w:cs="Times New Roman" w:eastAsia="Times New Roman" w:hAnsi="Times New Roman"/>
          <w:sz w:val="24"/>
          <w:szCs w:val="24"/>
        </w:rPr>
        <w:t xml:space="preserve">14. Meginnis, I. M., Putnam, Z. R., Clark, I. G., Braun, R. D., &amp; Barton, G. H. (2013). Guided entry performance of low ballistic coefficient vehicles at Mars. Journal of Spacecraft and Rockets, 50(5), 1047–1059. https://doi.org/10.2514/1.A32425</w:t>
      </w:r>
    </w:p>
    <w:p>
      <w:pPr>
        <w:spacing w:after="100" w:before="0" w:line="240" w:lineRule="auto"/>
        <w:ind w:left="360" w:hanging="360"/>
      </w:pPr>
      <w:r>
        <w:rPr>
          <w:rFonts w:ascii="Times New Roman" w:cs="Times New Roman" w:eastAsia="Times New Roman" w:hAnsi="Times New Roman"/>
          <w:sz w:val="24"/>
          <w:szCs w:val="24"/>
        </w:rPr>
        <w:t xml:space="preserve">15. Munk, M. M. (2021). Mars entry, descent and landing (EDL) [Conference presentation]. Access2Mars Workshop, Keck Institute for Space Studies, California Institute of Technology. https://www.kiss.caltech.edu/workshops/access2mars/presentations/Munk.pdf</w:t>
      </w:r>
    </w:p>
    <w:p>
      <w:pPr>
        <w:spacing w:after="100" w:before="0" w:line="240" w:lineRule="auto"/>
        <w:ind w:left="360" w:hanging="360"/>
      </w:pPr>
      <w:r>
        <w:rPr>
          <w:rFonts w:ascii="Times New Roman" w:cs="Times New Roman" w:eastAsia="Times New Roman" w:hAnsi="Times New Roman"/>
          <w:sz w:val="24"/>
          <w:szCs w:val="24"/>
        </w:rPr>
        <w:t xml:space="preserve">16. Samareh, J. A., &amp; Komar, D. R. (2011). Parametric mass modeling for Mars entry, descent and landing system analysis study. NASA Technical Reports Server. https://ntrs.nasa.gov/api/citations/20110005491/downloads/20110005491.pdf</w:t>
      </w:r>
    </w:p>
    <w:p>
      <w:pPr>
        <w:spacing w:after="100" w:before="0" w:line="240" w:lineRule="auto"/>
        <w:ind w:left="360" w:hanging="360"/>
      </w:pPr>
      <w:r>
        <w:rPr>
          <w:rFonts w:ascii="Times New Roman" w:cs="Times New Roman" w:eastAsia="Times New Roman" w:hAnsi="Times New Roman"/>
          <w:sz w:val="24"/>
          <w:szCs w:val="24"/>
        </w:rPr>
        <w:t xml:space="preserve">17. Subrahmanyam, P., &amp; Rasky, D. (2017). Entry, descent, and landing technological barriers and crewed Mars vehicle performance analysis. Progress in Aerospace Sciences, 91, 27–52. https://doi.org/10.1016/j.paerosci.2016.12.005</w:t>
      </w:r>
    </w:p>
    <w:p>
      <w:pPr>
        <w:spacing w:after="100" w:before="0" w:line="240" w:lineRule="auto"/>
        <w:ind w:left="360" w:hanging="360"/>
      </w:pPr>
      <w:r>
        <w:rPr>
          <w:rFonts w:ascii="Times New Roman" w:cs="Times New Roman" w:eastAsia="Times New Roman" w:hAnsi="Times New Roman"/>
          <w:sz w:val="24"/>
          <w:szCs w:val="24"/>
        </w:rPr>
        <w:t xml:space="preserve">18. Szmuk, M., &amp; Açıkmeşe, B. (2018). Successive convexification for 6-DoF Mars rocket powered landing with free-final-time. arXiv. https://doi.org/10.48550/arXiv.1802.03827</w:t>
      </w:r>
    </w:p>
    <w:p>
      <w:pPr>
        <w:spacing w:after="100" w:before="0" w:line="240" w:lineRule="auto"/>
        <w:ind w:left="360" w:hanging="360"/>
      </w:pPr>
      <w:r>
        <w:rPr>
          <w:rFonts w:ascii="Times New Roman" w:cs="Times New Roman" w:eastAsia="Times New Roman" w:hAnsi="Times New Roman"/>
          <w:sz w:val="24"/>
          <w:szCs w:val="24"/>
        </w:rPr>
        <w:t xml:space="preserve">19. Vivenzio, S., Fries, D., &amp; Welch, C. (2020). Feasibility analysis and preliminary design of ChipSat entry for in-situ investigation of the atmosphere of Venus. arXiv. https://doi.org/10.48550/arXiv.2009.08396</w:t>
      </w:r>
    </w:p>
    <w:p>
      <w:pPr>
        <w:spacing w:after="100" w:before="0" w:line="240" w:lineRule="auto"/>
        <w:ind w:left="360" w:hanging="360"/>
      </w:pPr>
      <w:r>
        <w:rPr>
          <w:rFonts w:ascii="Times New Roman" w:cs="Times New Roman" w:eastAsia="Times New Roman" w:hAnsi="Times New Roman"/>
          <w:sz w:val="24"/>
          <w:szCs w:val="24"/>
        </w:rPr>
        <w:t xml:space="preserve">20. Zheng, Y.-C. (2020). Mars exploration in 2020. The Innovation, 1(2), Article 100036. https://doi.org/10.1016/j.xinn.2020.100036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2026-08-15T22:00:34.789Z</dcterms:created>
  <dcterms:modified xsi:type="dcterms:W3CDTF">2026-08-15T22:00:34.789Z</dcterms:modified>
</cp:coreProperties>
</file>

<file path=docProps/custom.xml><?xml version="1.0" encoding="utf-8"?>
<Properties xmlns="http://schemas.openxmlformats.org/officeDocument/2006/custom-properties" xmlns:vt="http://schemas.openxmlformats.org/officeDocument/2006/docPropsVTypes"/>
</file>