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135186"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001D5296" w:rsidRPr="00F2435D">
        <w:rPr>
          <w:rFonts w:ascii="Times New Roman" w:hAnsi="Times New Roman"/>
          <w:bCs/>
          <w:sz w:val="20"/>
          <w:szCs w:val="20"/>
        </w:rPr>
        <w:t>,</w:t>
      </w:r>
      <w:r w:rsidR="001D5296" w:rsidRPr="007C2989">
        <w:rPr>
          <w:rFonts w:ascii="Times New Roman" w:hAnsi="Times New Roman"/>
          <w:b/>
          <w:bCs/>
          <w:sz w:val="20"/>
          <w:szCs w:val="20"/>
        </w:rPr>
        <w:t xml:space="preserve"> </w:t>
      </w:r>
      <w:r w:rsidR="001D5296" w:rsidRPr="007C2989">
        <w:rPr>
          <w:rFonts w:ascii="Times New Roman" w:hAnsi="Times New Roman"/>
          <w:sz w:val="20"/>
          <w:szCs w:val="20"/>
        </w:rPr>
        <w:t xml:space="preserve">lahir di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tempat_lahir</w:t>
      </w:r>
      <w:proofErr w:type="spellEnd"/>
      <w:r w:rsidR="00E352DA">
        <w:rPr>
          <w:rFonts w:ascii="Times New Roman" w:hAnsi="Times New Roman"/>
          <w:sz w:val="20"/>
          <w:szCs w:val="20"/>
          <w:lang w:val="en-US"/>
        </w:rPr>
        <w:t>}</w:t>
      </w:r>
      <w:r w:rsidR="00B747E2">
        <w:rPr>
          <w:rFonts w:ascii="Times New Roman" w:hAnsi="Times New Roman"/>
          <w:sz w:val="20"/>
          <w:szCs w:val="20"/>
          <w:lang w:val="en-US"/>
        </w:rPr>
        <w:t xml:space="preserve"> </w:t>
      </w:r>
      <w:r w:rsidR="001D5296" w:rsidRPr="007C2989">
        <w:rPr>
          <w:rFonts w:ascii="Times New Roman" w:hAnsi="Times New Roman"/>
          <w:sz w:val="20"/>
          <w:szCs w:val="20"/>
        </w:rPr>
        <w:t>pada tanggal</w:t>
      </w:r>
      <w:r w:rsidR="00BF4484">
        <w:rPr>
          <w:rFonts w:ascii="Times New Roman" w:hAnsi="Times New Roman"/>
          <w:sz w:val="20"/>
          <w:szCs w:val="20"/>
          <w:lang w:val="en-US"/>
        </w:rPr>
        <w:t xml:space="preserve"> </w:t>
      </w:r>
      <w:r w:rsidR="00E352DA">
        <w:rPr>
          <w:rFonts w:ascii="Times New Roman" w:hAnsi="Times New Roman"/>
          <w:sz w:val="20"/>
          <w:szCs w:val="20"/>
          <w:lang w:val="en-US"/>
        </w:rPr>
        <w:t>${</w:t>
      </w:r>
      <w:proofErr w:type="spellStart"/>
      <w:r w:rsidR="00E352DA">
        <w:rPr>
          <w:rFonts w:ascii="Times New Roman" w:hAnsi="Times New Roman"/>
          <w:sz w:val="20"/>
          <w:szCs w:val="20"/>
          <w:lang w:val="en-US"/>
        </w:rPr>
        <w:t>tanggal_lahir</w:t>
      </w:r>
      <w:proofErr w:type="spellEnd"/>
      <w:r w:rsidR="00E352DA">
        <w:rPr>
          <w:rFonts w:ascii="Times New Roman" w:hAnsi="Times New Roman"/>
          <w:sz w:val="20"/>
          <w:szCs w:val="20"/>
          <w:lang w:val="en-US"/>
        </w:rPr>
        <w:t>}</w:t>
      </w:r>
      <w:r w:rsidR="001D5296" w:rsidRPr="007C2989">
        <w:rPr>
          <w:rFonts w:ascii="Times New Roman" w:hAnsi="Times New Roman"/>
          <w:sz w:val="20"/>
          <w:szCs w:val="20"/>
        </w:rPr>
        <w:t xml:space="preserve">, kedudukannya sebagai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jabatan</w:t>
      </w:r>
      <w:proofErr w:type="spellEnd"/>
      <w:r w:rsidR="009375A5">
        <w:rPr>
          <w:rFonts w:ascii="Times New Roman" w:hAnsi="Times New Roman"/>
          <w:sz w:val="20"/>
          <w:szCs w:val="20"/>
          <w:lang w:val="en-US"/>
        </w:rPr>
        <w:t>}</w:t>
      </w:r>
      <w:r w:rsidR="00CB77C6">
        <w:rPr>
          <w:rFonts w:ascii="Times New Roman" w:hAnsi="Times New Roman"/>
          <w:sz w:val="20"/>
          <w:szCs w:val="20"/>
          <w:lang w:val="en-US"/>
        </w:rPr>
        <w:t xml:space="preserve"> </w:t>
      </w:r>
      <w:r w:rsidR="001D5296" w:rsidRPr="007C2989">
        <w:rPr>
          <w:rFonts w:ascii="Times New Roman" w:hAnsi="Times New Roman"/>
          <w:sz w:val="20"/>
          <w:szCs w:val="20"/>
        </w:rPr>
        <w:t xml:space="preserve">PT </w:t>
      </w:r>
      <w:r w:rsidR="00517F07" w:rsidRPr="007C2989">
        <w:rPr>
          <w:rFonts w:ascii="Times New Roman" w:hAnsi="Times New Roman"/>
          <w:sz w:val="20"/>
          <w:szCs w:val="20"/>
        </w:rPr>
        <w:t>BPR HASA MITRA</w:t>
      </w:r>
      <w:r w:rsidR="001D5296" w:rsidRPr="007C2989">
        <w:rPr>
          <w:rFonts w:ascii="Times New Roman" w:hAnsi="Times New Roman"/>
          <w:sz w:val="20"/>
          <w:szCs w:val="20"/>
        </w:rPr>
        <w:t xml:space="preserve">, sebagaimana diatur dalam </w:t>
      </w:r>
      <w:r w:rsidR="001E3B2A">
        <w:rPr>
          <w:rFonts w:ascii="Times New Roman" w:hAnsi="Times New Roman"/>
          <w:sz w:val="20"/>
          <w:szCs w:val="20"/>
          <w:lang w:val="en-US"/>
        </w:rPr>
        <w:t>${</w:t>
      </w:r>
      <w:proofErr w:type="spellStart"/>
      <w:r w:rsidR="001E3B2A">
        <w:rPr>
          <w:rFonts w:ascii="Times New Roman" w:hAnsi="Times New Roman"/>
          <w:sz w:val="20"/>
          <w:szCs w:val="20"/>
          <w:lang w:val="en-US"/>
        </w:rPr>
        <w:t>jenis_surat</w:t>
      </w:r>
      <w:proofErr w:type="spellEnd"/>
      <w:r w:rsidR="001E3B2A">
        <w:rPr>
          <w:rFonts w:ascii="Times New Roman" w:hAnsi="Times New Roman"/>
          <w:sz w:val="20"/>
          <w:szCs w:val="20"/>
          <w:lang w:val="en-US"/>
        </w:rPr>
        <w:t>}</w:t>
      </w:r>
      <w:r w:rsidR="001D5296" w:rsidRPr="007C2989">
        <w:rPr>
          <w:rFonts w:ascii="Times New Roman" w:hAnsi="Times New Roman"/>
          <w:sz w:val="20"/>
          <w:szCs w:val="20"/>
        </w:rPr>
        <w:t xml:space="preserve"> No.</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nomor</w:t>
      </w:r>
      <w:r w:rsidR="005645E4">
        <w:rPr>
          <w:rFonts w:ascii="Times New Roman" w:hAnsi="Times New Roman"/>
          <w:sz w:val="20"/>
          <w:szCs w:val="20"/>
          <w:lang w:val="en-US"/>
        </w:rPr>
        <w:t>_</w:t>
      </w:r>
      <w:r w:rsidR="009375A5">
        <w:rPr>
          <w:rFonts w:ascii="Times New Roman" w:hAnsi="Times New Roman"/>
          <w:sz w:val="20"/>
          <w:szCs w:val="20"/>
          <w:lang w:val="en-US"/>
        </w:rPr>
        <w:t>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tanggal</w:t>
      </w:r>
      <w:r w:rsidR="00BF4484">
        <w:rPr>
          <w:rFonts w:ascii="Times New Roman" w:hAnsi="Times New Roman"/>
          <w:sz w:val="20"/>
          <w:szCs w:val="20"/>
          <w:lang w:val="en-US"/>
        </w:rPr>
        <w:t xml:space="preserve">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tanggal_surat</w:t>
      </w:r>
      <w:proofErr w:type="spellEnd"/>
      <w:r w:rsidR="009375A5">
        <w:rPr>
          <w:rFonts w:ascii="Times New Roman" w:hAnsi="Times New Roman"/>
          <w:sz w:val="20"/>
          <w:szCs w:val="20"/>
          <w:lang w:val="en-US"/>
        </w:rPr>
        <w:t>}</w:t>
      </w:r>
      <w:r w:rsidR="001D5296" w:rsidRPr="007C2989">
        <w:rPr>
          <w:rFonts w:ascii="Times New Roman" w:hAnsi="Times New Roman"/>
          <w:sz w:val="20"/>
          <w:szCs w:val="20"/>
        </w:rPr>
        <w:t xml:space="preserve">, perihal: </w:t>
      </w:r>
      <w:r w:rsidR="009375A5">
        <w:rPr>
          <w:rFonts w:ascii="Times New Roman" w:hAnsi="Times New Roman"/>
          <w:sz w:val="20"/>
          <w:szCs w:val="20"/>
          <w:lang w:val="en-US"/>
        </w:rPr>
        <w:t>${</w:t>
      </w:r>
      <w:proofErr w:type="spellStart"/>
      <w:r w:rsidR="009375A5">
        <w:rPr>
          <w:rFonts w:ascii="Times New Roman" w:hAnsi="Times New Roman"/>
          <w:sz w:val="20"/>
          <w:szCs w:val="20"/>
          <w:lang w:val="en-US"/>
        </w:rPr>
        <w:t>perihal_surat</w:t>
      </w:r>
      <w:proofErr w:type="spellEnd"/>
      <w:r w:rsidR="009375A5">
        <w:rPr>
          <w:rFonts w:ascii="Times New Roman" w:hAnsi="Times New Roman"/>
          <w:sz w:val="20"/>
          <w:szCs w:val="20"/>
          <w:lang w:val="en-US"/>
        </w:rPr>
        <w:t>}</w:t>
      </w:r>
      <w:r w:rsidR="00D87A5A">
        <w:rPr>
          <w:rFonts w:ascii="Times New Roman" w:hAnsi="Times New Roman"/>
          <w:sz w:val="20"/>
          <w:szCs w:val="20"/>
          <w:lang w:val="en-US"/>
        </w:rPr>
        <w:t xml:space="preserve"> </w:t>
      </w:r>
      <w:r w:rsidR="001D5296" w:rsidRPr="007C2989">
        <w:rPr>
          <w:rFonts w:ascii="Times New Roman" w:hAnsi="Times New Roman"/>
          <w:sz w:val="20"/>
          <w:szCs w:val="20"/>
        </w:rPr>
        <w:t>dan Surat Keputusan Direksi No</w:t>
      </w:r>
      <w:r w:rsidR="00517F07" w:rsidRPr="007C2989">
        <w:rPr>
          <w:rFonts w:ascii="Times New Roman" w:hAnsi="Times New Roman"/>
          <w:sz w:val="20"/>
          <w:szCs w:val="20"/>
        </w:rPr>
        <w:t xml:space="preserve">. </w:t>
      </w:r>
      <w:r w:rsidR="00721520">
        <w:rPr>
          <w:rFonts w:ascii="Times New Roman" w:hAnsi="Times New Roman"/>
          <w:sz w:val="20"/>
          <w:szCs w:val="20"/>
          <w:lang w:val="en-US"/>
        </w:rPr>
        <w:t>${</w:t>
      </w:r>
      <w:proofErr w:type="spellStart"/>
      <w:r w:rsidR="00721520">
        <w:rPr>
          <w:rFonts w:ascii="Times New Roman" w:hAnsi="Times New Roman"/>
          <w:sz w:val="20"/>
          <w:szCs w:val="20"/>
          <w:lang w:val="en-US"/>
        </w:rPr>
        <w:t>nomor_surat_limit</w:t>
      </w:r>
      <w:proofErr w:type="spellEnd"/>
      <w:r w:rsidR="00721520">
        <w:rPr>
          <w:rFonts w:ascii="Times New Roman" w:hAnsi="Times New Roman"/>
          <w:sz w:val="20"/>
          <w:szCs w:val="20"/>
          <w:lang w:val="en-US"/>
        </w:rPr>
        <w:t>}</w:t>
      </w:r>
      <w:r w:rsidR="001D5296" w:rsidRPr="007C2989">
        <w:rPr>
          <w:rFonts w:ascii="Times New Roman" w:hAnsi="Times New Roman"/>
          <w:sz w:val="20"/>
          <w:szCs w:val="20"/>
        </w:rPr>
        <w:t xml:space="preserve"> tanggal</w:t>
      </w:r>
      <w:r w:rsidR="002C70C8">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tanggal_surat_limit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w:t>
      </w:r>
      <w:r w:rsidR="00D87A5A">
        <w:rPr>
          <w:rFonts w:ascii="Times New Roman" w:hAnsi="Times New Roman"/>
          <w:sz w:val="20"/>
          <w:szCs w:val="20"/>
          <w:lang w:val="en-US"/>
        </w:rPr>
        <w:t xml:space="preserve"> t</w:t>
      </w:r>
      <w:r w:rsidR="00517F07" w:rsidRPr="007C2989">
        <w:rPr>
          <w:rFonts w:ascii="Times New Roman" w:hAnsi="Times New Roman"/>
          <w:sz w:val="20"/>
          <w:szCs w:val="20"/>
        </w:rPr>
        <w:t xml:space="preserve">entang </w:t>
      </w:r>
      <w:r w:rsidR="001D5296" w:rsidRPr="007C2989">
        <w:rPr>
          <w:rFonts w:ascii="Times New Roman" w:hAnsi="Times New Roman"/>
          <w:sz w:val="20"/>
          <w:szCs w:val="20"/>
        </w:rPr>
        <w:t>:</w:t>
      </w:r>
      <w:r w:rsidR="00EE2CB9">
        <w:rPr>
          <w:rFonts w:ascii="Times New Roman" w:hAnsi="Times New Roman"/>
          <w:sz w:val="20"/>
          <w:szCs w:val="20"/>
          <w:lang w:val="en-US"/>
        </w:rPr>
        <w:t xml:space="preserve"> </w:t>
      </w:r>
      <w:r w:rsidR="00E470E1">
        <w:rPr>
          <w:rFonts w:ascii="Times New Roman" w:hAnsi="Times New Roman"/>
          <w:sz w:val="20"/>
          <w:szCs w:val="20"/>
          <w:lang w:val="en-US"/>
        </w:rPr>
        <w:t>${</w:t>
      </w:r>
      <w:proofErr w:type="spellStart"/>
      <w:r w:rsidR="00E470E1">
        <w:rPr>
          <w:rFonts w:ascii="Times New Roman" w:hAnsi="Times New Roman"/>
          <w:sz w:val="20"/>
          <w:szCs w:val="20"/>
          <w:lang w:val="en-US"/>
        </w:rPr>
        <w:t>perihal_surat_limit</w:t>
      </w:r>
      <w:proofErr w:type="spellEnd"/>
      <w:r w:rsidR="00E470E1">
        <w:rPr>
          <w:rFonts w:ascii="Times New Roman" w:hAnsi="Times New Roman"/>
          <w:sz w:val="20"/>
          <w:szCs w:val="20"/>
          <w:lang w:val="en-US"/>
        </w:rPr>
        <w:t>}</w:t>
      </w:r>
      <w:r w:rsidR="001D5296" w:rsidRPr="007C2989">
        <w:rPr>
          <w:rFonts w:ascii="Times New Roman" w:hAnsi="Times New Roman"/>
          <w:sz w:val="20"/>
          <w:szCs w:val="20"/>
        </w:rPr>
        <w:t>, oleh dan karenanya</w:t>
      </w:r>
      <w:r w:rsidR="00517F07" w:rsidRPr="007C2989">
        <w:rPr>
          <w:rFonts w:ascii="Times New Roman" w:hAnsi="Times New Roman"/>
          <w:sz w:val="20"/>
          <w:szCs w:val="20"/>
        </w:rPr>
        <w:t xml:space="preserve"> sah</w:t>
      </w:r>
      <w:r w:rsidR="001D5296" w:rsidRPr="007C2989">
        <w:rPr>
          <w:rFonts w:ascii="Times New Roman" w:hAnsi="Times New Roman"/>
          <w:sz w:val="20"/>
          <w:szCs w:val="20"/>
        </w:rPr>
        <w:t xml:space="preserve"> bertindak untuk dan atas nama PT </w:t>
      </w:r>
      <w:r w:rsidR="00517F07" w:rsidRPr="007C2989">
        <w:rPr>
          <w:rFonts w:ascii="Times New Roman" w:hAnsi="Times New Roman"/>
          <w:sz w:val="20"/>
          <w:szCs w:val="20"/>
        </w:rPr>
        <w:t xml:space="preserve">BPR HASA MITRA </w:t>
      </w:r>
      <w:r w:rsidR="001D5296" w:rsidRPr="007C2989">
        <w:rPr>
          <w:rFonts w:ascii="Times New Roman" w:hAnsi="Times New Roman"/>
          <w:sz w:val="20"/>
          <w:szCs w:val="20"/>
        </w:rPr>
        <w:t>selanjutnya disebut sebagai:</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B833CE" w:rsidP="00DB7BF1">
            <w:pPr>
              <w:rPr>
                <w:rFonts w:ascii="Times New Roman" w:hAnsi="Times New Roman"/>
                <w:b/>
                <w:sz w:val="20"/>
                <w:szCs w:val="20"/>
              </w:rPr>
            </w:pPr>
            <w:r>
              <w:rPr>
                <w:rFonts w:ascii="Times New Roman" w:hAnsi="Times New Roman"/>
                <w:b/>
                <w:sz w:val="20"/>
                <w:szCs w:val="20"/>
                <w:lang w:val="en-US"/>
              </w:rPr>
              <w:t>${</w:t>
            </w:r>
            <w:proofErr w:type="spellStart"/>
            <w:r>
              <w:rPr>
                <w:rFonts w:ascii="Times New Roman" w:hAnsi="Times New Roman"/>
                <w:b/>
                <w:sz w:val="20"/>
                <w:szCs w:val="20"/>
                <w:lang w:val="en-US"/>
              </w:rPr>
              <w:t>jenis_pekerjaan_debitur</w:t>
            </w:r>
            <w:proofErr w:type="spellEnd"/>
            <w:r>
              <w:rPr>
                <w:rFonts w:ascii="Times New Roman" w:hAnsi="Times New Roman"/>
                <w:b/>
                <w:sz w:val="20"/>
                <w:szCs w:val="20"/>
                <w:lang w:val="en-US"/>
              </w:rPr>
              <w:t xml:space="preserve">} </w:t>
            </w:r>
            <w:r w:rsidR="00A14480" w:rsidRPr="00F92510">
              <w:rPr>
                <w:rFonts w:ascii="Times New Roman" w:hAnsi="Times New Roman"/>
                <w:b/>
                <w:sz w:val="20"/>
                <w:szCs w:val="20"/>
                <w:lang w:val="en-US"/>
              </w:rPr>
              <w:t>${</w:t>
            </w:r>
            <w:proofErr w:type="spellStart"/>
            <w:r w:rsidR="00A14480" w:rsidRPr="00F92510">
              <w:rPr>
                <w:rFonts w:ascii="Times New Roman" w:hAnsi="Times New Roman"/>
                <w:b/>
                <w:sz w:val="20"/>
                <w:szCs w:val="20"/>
                <w:lang w:val="en-US"/>
              </w:rPr>
              <w:t>instansi_debitur</w:t>
            </w:r>
            <w:proofErr w:type="spellEnd"/>
            <w:r w:rsidR="00A14480"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890184" w:rsidP="00F7014E">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252C82">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sehubugan dengan pemberian kredit ini serta denda yang mungkin timbul di</w:t>
      </w:r>
      <w:r w:rsidR="0067453D">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kredit melalui setor langsung di BPR Hasa Mitra, pemindahbukuan atau transfer ke Rekening BPR Hasa Mitra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lastRenderedPageBreak/>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Hasa Mitra, pemindahbukuan atau transfer ke Rekening BPR Hasa Mitra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lastRenderedPageBreak/>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lastRenderedPageBreak/>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r w:rsidRPr="007C2989">
        <w:rPr>
          <w:rFonts w:ascii="Times New Roman" w:hAnsi="Times New Roman"/>
          <w:b/>
          <w:bCs/>
          <w:sz w:val="20"/>
          <w:szCs w:val="20"/>
          <w:lang w:val="en-US"/>
        </w:rPr>
        <w:t>Pasal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(force majeure)</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lastRenderedPageBreak/>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5296"/>
    <w:rsid w:val="001E3B2A"/>
    <w:rsid w:val="001E5FBC"/>
    <w:rsid w:val="001F1A09"/>
    <w:rsid w:val="00206FB5"/>
    <w:rsid w:val="0024385B"/>
    <w:rsid w:val="00252C82"/>
    <w:rsid w:val="00262147"/>
    <w:rsid w:val="002748BD"/>
    <w:rsid w:val="0027536E"/>
    <w:rsid w:val="00280C06"/>
    <w:rsid w:val="002A1B36"/>
    <w:rsid w:val="002C225C"/>
    <w:rsid w:val="002C70C8"/>
    <w:rsid w:val="002D2088"/>
    <w:rsid w:val="002D38C4"/>
    <w:rsid w:val="002D3C7F"/>
    <w:rsid w:val="002E20B1"/>
    <w:rsid w:val="002F43CC"/>
    <w:rsid w:val="002F640A"/>
    <w:rsid w:val="0032033E"/>
    <w:rsid w:val="00340844"/>
    <w:rsid w:val="003423B6"/>
    <w:rsid w:val="0034296C"/>
    <w:rsid w:val="00390E28"/>
    <w:rsid w:val="00395BD8"/>
    <w:rsid w:val="003B0E99"/>
    <w:rsid w:val="003B65FB"/>
    <w:rsid w:val="003C6AD9"/>
    <w:rsid w:val="003D7CEB"/>
    <w:rsid w:val="003F6B9E"/>
    <w:rsid w:val="00417AF8"/>
    <w:rsid w:val="00423B2B"/>
    <w:rsid w:val="00425BA3"/>
    <w:rsid w:val="00432912"/>
    <w:rsid w:val="00434908"/>
    <w:rsid w:val="00444BC2"/>
    <w:rsid w:val="00492DAD"/>
    <w:rsid w:val="00492F4D"/>
    <w:rsid w:val="004948B4"/>
    <w:rsid w:val="004A5632"/>
    <w:rsid w:val="004A5E6B"/>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7751"/>
    <w:rsid w:val="00670C39"/>
    <w:rsid w:val="006710CC"/>
    <w:rsid w:val="0067187B"/>
    <w:rsid w:val="0067453D"/>
    <w:rsid w:val="006924CB"/>
    <w:rsid w:val="006B6466"/>
    <w:rsid w:val="006B7937"/>
    <w:rsid w:val="006C6D87"/>
    <w:rsid w:val="006C77DE"/>
    <w:rsid w:val="006D635F"/>
    <w:rsid w:val="006E6A76"/>
    <w:rsid w:val="006E7F3C"/>
    <w:rsid w:val="00700DFA"/>
    <w:rsid w:val="00721520"/>
    <w:rsid w:val="0072197A"/>
    <w:rsid w:val="007227C9"/>
    <w:rsid w:val="007273C4"/>
    <w:rsid w:val="00742064"/>
    <w:rsid w:val="00742E46"/>
    <w:rsid w:val="007634DC"/>
    <w:rsid w:val="00784510"/>
    <w:rsid w:val="007A3A13"/>
    <w:rsid w:val="007C2989"/>
    <w:rsid w:val="007D59DE"/>
    <w:rsid w:val="007D5FFF"/>
    <w:rsid w:val="007E1909"/>
    <w:rsid w:val="007E3AB5"/>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01F6F"/>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33CE"/>
    <w:rsid w:val="00B8685B"/>
    <w:rsid w:val="00B87D5D"/>
    <w:rsid w:val="00BA55E3"/>
    <w:rsid w:val="00BB1D8F"/>
    <w:rsid w:val="00BD439B"/>
    <w:rsid w:val="00BE1DB1"/>
    <w:rsid w:val="00BF4484"/>
    <w:rsid w:val="00C02A7E"/>
    <w:rsid w:val="00C03739"/>
    <w:rsid w:val="00C0481E"/>
    <w:rsid w:val="00C068D4"/>
    <w:rsid w:val="00C21FF4"/>
    <w:rsid w:val="00C767B5"/>
    <w:rsid w:val="00C81B77"/>
    <w:rsid w:val="00CA292D"/>
    <w:rsid w:val="00CA2AAF"/>
    <w:rsid w:val="00CB6EE3"/>
    <w:rsid w:val="00CB77C6"/>
    <w:rsid w:val="00CC15B3"/>
    <w:rsid w:val="00CE626A"/>
    <w:rsid w:val="00CF20B2"/>
    <w:rsid w:val="00CF4C6C"/>
    <w:rsid w:val="00D04B96"/>
    <w:rsid w:val="00D224B5"/>
    <w:rsid w:val="00D25000"/>
    <w:rsid w:val="00D7096E"/>
    <w:rsid w:val="00D719F0"/>
    <w:rsid w:val="00D776DA"/>
    <w:rsid w:val="00D87A5A"/>
    <w:rsid w:val="00D90058"/>
    <w:rsid w:val="00DB7BF1"/>
    <w:rsid w:val="00DB7FAB"/>
    <w:rsid w:val="00DC32C5"/>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197E"/>
    <w:rsid w:val="00F0778D"/>
    <w:rsid w:val="00F2435D"/>
    <w:rsid w:val="00F35BF1"/>
    <w:rsid w:val="00F508B0"/>
    <w:rsid w:val="00F60879"/>
    <w:rsid w:val="00F7014E"/>
    <w:rsid w:val="00F73A37"/>
    <w:rsid w:val="00F7410F"/>
    <w:rsid w:val="00F92510"/>
    <w:rsid w:val="00FA1F09"/>
    <w:rsid w:val="00FA6268"/>
    <w:rsid w:val="00FC7559"/>
    <w:rsid w:val="00FD4E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6</Pages>
  <Words>2521</Words>
  <Characters>16575</Characters>
  <Application>Microsoft Office Word</Application>
  <DocSecurity>0</DocSecurity>
  <Lines>138</Lines>
  <Paragraphs>38</Paragraphs>
  <ScaleCrop>false</ScaleCrop>
  <Company> </Company>
  <LinksUpToDate>false</LinksUpToDate>
  <CharactersWithSpaces>19058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99</cp:revision>
  <cp:lastPrinted>2023-12-28T04:48:00Z</cp:lastPrinted>
  <dcterms:created xsi:type="dcterms:W3CDTF">2024-02-05T00:36:00Z</dcterms:created>
  <dcterms:modified xsi:type="dcterms:W3CDTF">2024-02-13T02:29:00Z</dcterms:modified>
</cp:coreProperties>
</file>