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CenturyGothic,Bold" w:hAnsi="CenturyGothic,Bold" w:cs="CenturyGothic,Bold"/>
          <w:b/>
          <w:bCs/>
          <w:sz w:val="20"/>
          <w:szCs w:val="20"/>
        </w:rPr>
      </w:pPr>
      <w:r>
        <w:rPr>
          <w:rFonts w:cs="CenturyGothic,Bold" w:ascii="CenturyGothic,Bold" w:hAnsi="CenturyGothic,Bold"/>
          <w:b/>
          <w:bCs/>
          <w:sz w:val="20"/>
          <w:szCs w:val="20"/>
        </w:rPr>
        <w:t xml:space="preserve">DISPENSA SEM DISPUTA Nº _____/______, Processo SEI nº {{  numero_sei }}  </w:t>
      </w:r>
    </w:p>
    <w:p>
      <w:pPr>
        <w:pStyle w:val="Normal"/>
        <w:spacing w:lineRule="auto" w:line="240" w:before="120" w:after="0"/>
        <w:rPr>
          <w:rFonts w:ascii="CenturyGothic,Bold" w:hAnsi="CenturyGothic,Bold" w:cs="CenturyGothic,Bold"/>
          <w:b/>
          <w:bCs/>
          <w:sz w:val="20"/>
          <w:szCs w:val="20"/>
        </w:rPr>
      </w:pPr>
      <w:r>
        <w:rPr>
          <w:rFonts w:cs="CenturyGothic,Bold" w:ascii="CenturyGothic,Bold" w:hAnsi="CenturyGothic,Bold"/>
          <w:b/>
          <w:bCs/>
          <w:sz w:val="20"/>
          <w:szCs w:val="20"/>
        </w:rPr>
        <w:t>COMPRA n. {{ numero_compra }} Finalidade: {{ objeto }}</w:t>
      </w:r>
    </w:p>
    <w:tbl>
      <w:tblPr>
        <w:tblStyle w:val="Tabelacomgrade"/>
        <w:tblW w:w="1035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318"/>
        <w:gridCol w:w="707"/>
        <w:gridCol w:w="7416"/>
        <w:gridCol w:w="1134"/>
      </w:tblGrid>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1- Documento de formalização da demanda (DFD) (art. 12, inciso VII e 72, I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restart"/>
            <w:tcBorders/>
            <w:textDirection w:val="btLr"/>
            <w:vAlign w:val="center"/>
          </w:tcPr>
          <w:p>
            <w:pPr>
              <w:pStyle w:val="Normal"/>
              <w:widowControl/>
              <w:suppressAutoHyphens w:val="true"/>
              <w:spacing w:lineRule="auto" w:line="240" w:before="0" w:after="60"/>
              <w:ind w:left="113" w:right="113"/>
              <w:jc w:val="center"/>
              <w:rPr>
                <w:rFonts w:ascii="CenturyGothic" w:hAnsi="CenturyGothic" w:cs="CenturyGothic"/>
                <w:sz w:val="20"/>
                <w:szCs w:val="20"/>
              </w:rPr>
            </w:pPr>
            <w:r>
              <w:rPr>
                <w:rFonts w:eastAsia="Calibri" w:cs="CenturyGothic" w:ascii="CenturyGothic" w:hAnsi="CenturyGothic"/>
                <w:kern w:val="0"/>
                <w:sz w:val="20"/>
                <w:szCs w:val="20"/>
                <w:lang w:val="pt-BR" w:eastAsia="en-US" w:bidi="ar-SA"/>
              </w:rPr>
              <w:t>Requisitos</w:t>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I – justificativa da necessidade da contratação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II – descrição sucinta do objeto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III – quantidade a ser contratada (consumo anual)</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IV – estimativa preliminar do valor da contratação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V – data pretendida para a conclusão da contratação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VI – grau de prioridade</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VII – vinculação a outro DFD?</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VIII – nome da área requisitante ou técnica e identificação do responsável</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IX  - Termo de referência preliminar (TR) (art. 6º., XXIII e 72, I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2- Estudo técnico preliminar (ETP) (art. 18, I e  §§1º., 2º. e 3º. e 72, I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restart"/>
            <w:tcBorders/>
            <w:textDirection w:val="btLr"/>
            <w:vAlign w:val="center"/>
          </w:tcPr>
          <w:p>
            <w:pPr>
              <w:pStyle w:val="Normal"/>
              <w:widowControl/>
              <w:suppressAutoHyphens w:val="true"/>
              <w:spacing w:lineRule="auto" w:line="240" w:before="0" w:after="60"/>
              <w:ind w:left="113" w:right="113"/>
              <w:jc w:val="center"/>
              <w:rPr>
                <w:rFonts w:ascii="CenturyGothic" w:hAnsi="CenturyGothic" w:cs="CenturyGothic"/>
                <w:sz w:val="20"/>
                <w:szCs w:val="20"/>
              </w:rPr>
            </w:pPr>
            <w:r>
              <w:rPr>
                <w:rFonts w:eastAsia="Calibri" w:cs="CenturyGothic" w:ascii="CenturyGothic" w:hAnsi="CenturyGothic"/>
                <w:kern w:val="0"/>
                <w:sz w:val="20"/>
                <w:szCs w:val="20"/>
                <w:lang w:val="pt-BR" w:eastAsia="en-US" w:bidi="ar-SA"/>
              </w:rPr>
              <w:t>Requisitos</w:t>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 xml:space="preserve">I – descrição da necessidade da contratação </w:t>
            </w:r>
            <w:r>
              <w:rPr>
                <w:rFonts w:eastAsia="Calibri" w:cs="CenturyGothic" w:ascii="CenturyGothic" w:hAnsi="CenturyGothic"/>
                <w:b/>
                <w:kern w:val="0"/>
                <w:sz w:val="20"/>
                <w:szCs w:val="20"/>
                <w:lang w:val="pt-BR" w:eastAsia="en-US" w:bidi="ar-SA"/>
              </w:rPr>
              <w:t>(OBRIGATÓRIO)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II – previsão da contratação no PCA</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III – requisitos da contratação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 xml:space="preserve">IV – estimativas das quantidades para contratação (memórias de cálculo) </w:t>
            </w:r>
            <w:r>
              <w:rPr>
                <w:rFonts w:eastAsia="Calibri" w:cs="CenturyGothic" w:ascii="CenturyGothic" w:hAnsi="CenturyGothic"/>
                <w:b/>
                <w:kern w:val="0"/>
                <w:sz w:val="20"/>
                <w:szCs w:val="20"/>
                <w:lang w:val="pt-BR" w:eastAsia="en-US" w:bidi="ar-SA"/>
              </w:rPr>
              <w:t>(OBRIGATÓRIO)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V – levantamento de mercado (análise das alternativas e justificativa técnica e econômica da escolha)</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 xml:space="preserve">VI – estimativa do valor da contratação (preços unitários, memórias de cálculos, opção pelo sigilo ou não até a conclusão da licitação) </w:t>
            </w:r>
            <w:r>
              <w:rPr>
                <w:rFonts w:eastAsia="Calibri" w:cs="CenturyGothic" w:ascii="CenturyGothic" w:hAnsi="CenturyGothic"/>
                <w:b/>
                <w:kern w:val="0"/>
                <w:sz w:val="20"/>
                <w:szCs w:val="20"/>
                <w:lang w:val="pt-BR" w:eastAsia="en-US" w:bidi="ar-SA"/>
              </w:rPr>
              <w:t>(OBRIGATÓRIO)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VII – descrição da solução (exigências de manutenção e assistência técnica, se for o caso)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 xml:space="preserve">VIII – justificativa para parcelamento ou não do objeto (art, 9º, VII da IN SEGES 58/2022) </w:t>
            </w:r>
            <w:r>
              <w:rPr>
                <w:rFonts w:eastAsia="Calibri" w:cs="CenturyGothic" w:ascii="CenturyGothic" w:hAnsi="CenturyGothic"/>
                <w:b/>
                <w:kern w:val="0"/>
                <w:sz w:val="20"/>
                <w:szCs w:val="20"/>
                <w:lang w:val="pt-BR" w:eastAsia="en-US" w:bidi="ar-SA"/>
              </w:rPr>
              <w:t>(OBRIGATÓRIO)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IX – demonstrativo dos resultados pretendidos</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X – providências prévias à contratação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XI – contratações correlatas ou interdependentes</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XII – descrição de impactos ambientais e medidas mitigadoras</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 xml:space="preserve">XIII – posicionamento conclusivo sobre a contratação </w:t>
            </w:r>
            <w:r>
              <w:rPr>
                <w:rFonts w:eastAsia="Calibri" w:cs="CenturyGothic" w:ascii="CenturyGothic" w:hAnsi="CenturyGothic"/>
                <w:b/>
                <w:kern w:val="0"/>
                <w:sz w:val="20"/>
                <w:szCs w:val="20"/>
                <w:lang w:val="pt-BR" w:eastAsia="en-US" w:bidi="ar-SA"/>
              </w:rPr>
              <w:t>(OBRIGATÓRIO)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3- Análise de risco preliminar (ARP) (art. 18, inciso X e 72, I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4- Termo de referência final (TR) (art. 6º., XXIII e 72, I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5- Autorização da autoridade competente para o início da fase preparatória (art. 1º., inciso I, item a da Portaria GR 8.321/2024 e art. 18 da Lei 14.133/2021) – documento elaborado pela Compras</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6- Abertura de processo SEI (Decreto Estadual 67.641/2023)</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7- Designação do agente de contratação publicada no DOESP (art. 8º. Da Lei 14.133/2021, art. 1º., inciso I, item b da Portaria GR 8.321/2024 e Portaria GR 8.368/2024)</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8- Justificativa para contratação direta sem disputa (art. 8º., §1º. Do Decreto Estadual 68.304/2024)</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9- Solicitação de cotação para fornecedores (art. 23, §1º., IV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10- Pesquisa de preços – Valor estimado da contratação (art. 18, IV, 23, §1º., IV da Lei 14.133/2021 e Decreto Estadual 67.888/2023) – incluir e-mail e orçamentos, se for o caso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11- Pesquisa de preços – Justificativa de preços (art. 7º. Do Decreto Estadual 67.888/2023 e art. 72, VII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12- Grade de Preços – Sistema Mercúrio, com todas as cotações obtidas</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13- Reserva(s) Financeira(s) (valor e centro de despesa) (art. 72, IV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14- Documento de Compra Mercúrio assinado pela autoridade competente que contém Justificativa técnica de enquadramento da contratação à hipótese do art. 75, I e II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restart"/>
            <w:tcBorders/>
            <w:textDirection w:val="btLr"/>
            <w:vAlign w:val="center"/>
          </w:tcPr>
          <w:p>
            <w:pPr>
              <w:pStyle w:val="Normal"/>
              <w:widowControl/>
              <w:suppressAutoHyphens w:val="true"/>
              <w:spacing w:lineRule="auto" w:line="240" w:before="0" w:after="60"/>
              <w:ind w:left="113" w:right="113"/>
              <w:jc w:val="center"/>
              <w:rPr>
                <w:rFonts w:ascii="CenturyGothic" w:hAnsi="CenturyGothic" w:cs="CenturyGothic"/>
                <w:sz w:val="20"/>
                <w:szCs w:val="20"/>
              </w:rPr>
            </w:pPr>
            <w:r>
              <w:rPr>
                <w:rFonts w:eastAsia="Calibri" w:cs="CenturyGothic" w:ascii="CenturyGothic" w:hAnsi="CenturyGothic"/>
                <w:kern w:val="0"/>
                <w:sz w:val="20"/>
                <w:szCs w:val="20"/>
                <w:lang w:val="pt-BR" w:eastAsia="en-US" w:bidi="ar-SA"/>
              </w:rPr>
              <w:t>Requisitos</w:t>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Definição do objeto (natureza, quantitativo, prazo do contrato e possibilidade de prorrogação)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Fundamentação da contratação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Descrição da solução (considerando o ciclo do objeto)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Requisitos da contratação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Modelo de execução do objeto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Modelo de gestão do contrato (fiscalização)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Critérios de medição e pagamento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Forma e critérios de seleção do fornecedor</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Estimativa de valor da contratação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ListParagraph"/>
              <w:widowControl/>
              <w:numPr>
                <w:ilvl w:val="0"/>
                <w:numId w:val="1"/>
              </w:numPr>
              <w:suppressAutoHyphens w:val="true"/>
              <w:spacing w:lineRule="auto" w:line="240" w:before="0" w:after="60"/>
              <w:ind w:hanging="318" w:left="318"/>
              <w:contextualSpacing/>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Adequação orçamentária</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783"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8441" w:type="dxa"/>
            <w:gridSpan w:val="3"/>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Utilizou modelo padronizado? (Decreto Estadual 68.185/2023)</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 xml:space="preserve">16- Documentos de habilitação </w:t>
            </w:r>
            <w:r>
              <w:rPr>
                <w:rFonts w:eastAsia="Calibri" w:cs="CenturyGothic" w:ascii="CenturyGothic" w:hAnsi="CenturyGothic"/>
                <w:b/>
                <w:kern w:val="0"/>
                <w:sz w:val="20"/>
                <w:szCs w:val="20"/>
                <w:lang w:val="pt-BR" w:eastAsia="en-US" w:bidi="ar-SA"/>
              </w:rPr>
              <w:t>(TR – ver quadro seguinte)</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 xml:space="preserve">17- Proposta original do fornecedor vencedor </w:t>
            </w:r>
            <w:r>
              <w:rPr>
                <w:rFonts w:eastAsia="Calibri" w:cs="CenturyGothic" w:ascii="CenturyGothic" w:hAnsi="CenturyGothic"/>
                <w:b/>
                <w:kern w:val="0"/>
                <w:sz w:val="20"/>
                <w:szCs w:val="20"/>
                <w:lang w:val="pt-BR" w:eastAsia="en-US" w:bidi="ar-SA"/>
              </w:rPr>
              <w:t>(ver quadro seguinte)</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1101" w:type="dxa"/>
            <w:gridSpan w:val="2"/>
            <w:vMerge w:val="restart"/>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18- Haverá contrato?</w:t>
            </w:r>
          </w:p>
        </w:tc>
        <w:tc>
          <w:tcPr>
            <w:tcW w:w="707" w:type="dxa"/>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Não</w:t>
            </w:r>
          </w:p>
        </w:tc>
        <w:tc>
          <w:tcPr>
            <w:tcW w:w="7416" w:type="dxa"/>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Substituição do contrato por documento equivalente (Art. 95, I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1101" w:type="dxa"/>
            <w:gridSpan w:val="2"/>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707" w:type="dxa"/>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Sim</w:t>
            </w:r>
          </w:p>
        </w:tc>
        <w:tc>
          <w:tcPr>
            <w:tcW w:w="7416" w:type="dxa"/>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Minuta de contrato (Arts. 89 a 95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1101" w:type="dxa"/>
            <w:gridSpan w:val="2"/>
            <w:vMerge w:val="restart"/>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19- Minuta do  contrato padrão?</w:t>
            </w:r>
          </w:p>
        </w:tc>
        <w:tc>
          <w:tcPr>
            <w:tcW w:w="707" w:type="dxa"/>
            <w:vMerge w:val="restart"/>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Não</w:t>
            </w:r>
          </w:p>
        </w:tc>
        <w:tc>
          <w:tcPr>
            <w:tcW w:w="7416" w:type="dxa"/>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Encaminhar o processo à Procuradoria Geral (PG) para parecer jurídico (art. 1º., §3º. da Portaria PG 12/2024)</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1101" w:type="dxa"/>
            <w:gridSpan w:val="2"/>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707" w:type="dxa"/>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7416" w:type="dxa"/>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Parecer da Procuradoria Geral (Art, 53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1101" w:type="dxa"/>
            <w:gridSpan w:val="2"/>
            <w:vMerge w:val="continue"/>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cs="CenturyGothic" w:ascii="CenturyGothic" w:hAnsi="CenturyGothic"/>
                <w:sz w:val="20"/>
                <w:szCs w:val="20"/>
              </w:rPr>
            </w:r>
          </w:p>
        </w:tc>
        <w:tc>
          <w:tcPr>
            <w:tcW w:w="707" w:type="dxa"/>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SIm</w:t>
            </w:r>
          </w:p>
        </w:tc>
        <w:tc>
          <w:tcPr>
            <w:tcW w:w="7416" w:type="dxa"/>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Relatório de verificação (Portaria PG 12/2024) – utilização de minutas pré-aprovadas pelo órgão jurídico (art. 53, §5º. da lei 14.133/2021)</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20- despacho da Autoridade Competente autorizando a despesa (Art. 1º., inciso II, item h da Portaria GR 8.321/2024) e determinando a divulgação do ato de autorização no PNCP (Art. 53, §3º. da lei 14.133/2021 e art. 6º., §3º. do Decreto 68.304/2024)</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21- Publicação do ato de autorização no Portal Nacional de Compras Públicas – PNCP (art. 54 da Lei 14.133/2021 e art. 6º., §3º. do Decreto Estadual 68.304/2024)</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22- Adjudicação e homologação (por escrito) da autoridade competente (art. 71, inciso IV da Lei 14.133/2021) ou Termo de Homologação do Compras.gov.br</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 xml:space="preserve">23- Grade Proposta do Fornecedor Vencedor – </w:t>
            </w:r>
            <w:r>
              <w:rPr>
                <w:rFonts w:eastAsia="Calibri" w:cs="CenturyGothic" w:ascii="CenturyGothic" w:hAnsi="CenturyGothic"/>
                <w:b/>
                <w:kern w:val="0"/>
                <w:sz w:val="20"/>
                <w:szCs w:val="20"/>
                <w:lang w:val="pt-BR" w:eastAsia="en-US" w:bidi="ar-SA"/>
              </w:rPr>
              <w:t>Sistema Mercúrio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Bold" w:hAnsi="CenturyGothic,Bold" w:cs="CenturyGothic,Bold"/>
                <w:b/>
                <w:bCs/>
                <w:sz w:val="20"/>
                <w:szCs w:val="20"/>
              </w:rPr>
            </w:pPr>
            <w:r>
              <w:rPr>
                <w:rFonts w:eastAsia="Calibri" w:cs="CenturyGothic" w:ascii="CenturyGothic" w:hAnsi="CenturyGothic"/>
                <w:kern w:val="0"/>
                <w:sz w:val="20"/>
                <w:szCs w:val="20"/>
                <w:lang w:val="pt-BR" w:eastAsia="en-US" w:bidi="ar-SA"/>
              </w:rPr>
              <w:t>24- Documento da Compra com itens efetivados</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25- Informação encaminhando à Seção de Contabilidade</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26- Contabilidade anexa a(s) Nota(s) de Empenho e providencia o(s) contrato(s), se for o caso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27- Publicação do contrato no PNCP e no DOE, se for o caso (art. 6º., §3º. do Decreto 68.304/2024)</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r>
        <w:trPr/>
        <w:tc>
          <w:tcPr>
            <w:tcW w:w="9224" w:type="dxa"/>
            <w:gridSpan w:val="4"/>
            <w:tcBorders/>
            <w:vAlign w:val="center"/>
          </w:tcPr>
          <w:p>
            <w:pPr>
              <w:pStyle w:val="Normal"/>
              <w:widowControl/>
              <w:suppressAutoHyphens w:val="true"/>
              <w:spacing w:lineRule="auto" w:line="240" w:before="0" w:after="60"/>
              <w:jc w:val="left"/>
              <w:rPr>
                <w:rFonts w:ascii="CenturyGothic" w:hAnsi="CenturyGothic" w:cs="CenturyGothic"/>
                <w:sz w:val="20"/>
                <w:szCs w:val="20"/>
              </w:rPr>
            </w:pPr>
            <w:r>
              <w:rPr>
                <w:rFonts w:eastAsia="Calibri" w:cs="CenturyGothic" w:ascii="CenturyGothic" w:hAnsi="CenturyGothic"/>
                <w:kern w:val="0"/>
                <w:sz w:val="20"/>
                <w:szCs w:val="20"/>
                <w:lang w:val="pt-BR" w:eastAsia="en-US" w:bidi="ar-SA"/>
              </w:rPr>
              <w:t>28- Parecer da contabilidade (processo e Mercúrio)</w:t>
            </w:r>
          </w:p>
        </w:tc>
        <w:tc>
          <w:tcPr>
            <w:tcW w:w="1134" w:type="dxa"/>
            <w:tcBorders/>
          </w:tcPr>
          <w:p>
            <w:pPr>
              <w:pStyle w:val="Normal"/>
              <w:widowControl/>
              <w:suppressAutoHyphens w:val="true"/>
              <w:spacing w:lineRule="auto" w:line="240" w:before="0" w:after="0"/>
              <w:jc w:val="left"/>
              <w:rPr>
                <w:rFonts w:ascii="CenturyGothic" w:hAnsi="CenturyGothic" w:cs="CenturyGothic"/>
                <w:sz w:val="20"/>
                <w:szCs w:val="20"/>
              </w:rPr>
            </w:pPr>
            <w:r>
              <w:rPr>
                <w:rFonts w:cs="CenturyGothic" w:ascii="CenturyGothic" w:hAnsi="CenturyGothic"/>
                <w:sz w:val="20"/>
                <w:szCs w:val="20"/>
              </w:rPr>
            </w:r>
          </w:p>
        </w:tc>
      </w:tr>
    </w:tbl>
    <w:p>
      <w:pPr>
        <w:pStyle w:val="Normal"/>
        <w:spacing w:lineRule="auto" w:line="240" w:before="0" w:after="0"/>
        <w:rPr>
          <w:rFonts w:ascii="CenturyGothic,Bold" w:hAnsi="CenturyGothic,Bold" w:cs="CenturyGothic,Bold"/>
          <w:b/>
          <w:bCs/>
          <w:sz w:val="16"/>
          <w:szCs w:val="16"/>
          <w:highlight w:val="yellow"/>
        </w:rPr>
      </w:pPr>
      <w:r>
        <w:rPr>
          <w:rFonts w:cs="CenturyGothic,Bold" w:ascii="CenturyGothic,Bold" w:hAnsi="CenturyGothic,Bold"/>
          <w:b/>
          <w:bCs/>
          <w:sz w:val="16"/>
          <w:szCs w:val="16"/>
          <w:highlight w:val="yellow"/>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tbl>
      <w:tblPr>
        <w:tblStyle w:val="Tabelacomgrade"/>
        <w:tblW w:w="103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1"/>
        <w:gridCol w:w="538"/>
        <w:gridCol w:w="5812"/>
        <w:gridCol w:w="1690"/>
        <w:gridCol w:w="1853"/>
      </w:tblGrid>
      <w:tr>
        <w:trPr>
          <w:trHeight w:val="397" w:hRule="exact"/>
        </w:trPr>
        <w:tc>
          <w:tcPr>
            <w:tcW w:w="6771" w:type="dxa"/>
            <w:gridSpan w:val="3"/>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Fornecedor (identificação e CNPJ)</w:t>
            </w:r>
          </w:p>
        </w:tc>
        <w:tc>
          <w:tcPr>
            <w:tcW w:w="1690"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1029" w:hRule="exact"/>
        </w:trPr>
        <w:tc>
          <w:tcPr>
            <w:tcW w:w="421" w:type="dxa"/>
            <w:vMerge w:val="restart"/>
            <w:tcBorders/>
            <w:textDirection w:val="btLr"/>
            <w:vAlign w:val="center"/>
          </w:tcPr>
          <w:p>
            <w:pPr>
              <w:pStyle w:val="Normal"/>
              <w:widowControl/>
              <w:suppressAutoHyphens w:val="true"/>
              <w:spacing w:lineRule="auto" w:line="240" w:before="0" w:after="0"/>
              <w:ind w:left="113" w:right="113"/>
              <w:jc w:val="center"/>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Certidões Julgamento</w:t>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commentRangeStart w:id="0"/>
            <w:r>
              <w:rPr>
                <w:rFonts w:eastAsia="Calibri" w:cs="CenturyGothic,Bold" w:ascii="CenturyGothic,Bold" w:hAnsi="CenturyGothic,Bold"/>
                <w:b/>
                <w:bCs/>
                <w:kern w:val="0"/>
                <w:sz w:val="20"/>
                <w:szCs w:val="20"/>
                <w:lang w:val="pt-BR" w:eastAsia="en-US" w:bidi="ar-SA"/>
              </w:rPr>
              <w:t>SICAF NÍVEL 1 ao 6 (aviso)</w:t>
            </w:r>
            <w:r>
              <w:rPr>
                <w:rFonts w:eastAsia="Calibri" w:cs="CenturyGothic,Bold" w:ascii="CenturyGothic,Bold" w:hAnsi="CenturyGothic,Bold"/>
                <w:b/>
                <w:bCs/>
                <w:kern w:val="0"/>
                <w:sz w:val="20"/>
                <w:szCs w:val="20"/>
                <w:lang w:val="pt-BR" w:eastAsia="en-US" w:bidi="ar-SA"/>
              </w:rPr>
            </w:r>
            <w:commentRangeEnd w:id="0"/>
            <w:r>
              <w:commentReference w:id="0"/>
            </w:r>
            <w:r>
              <w:rPr>
                <w:rFonts w:eastAsia="Calibri" w:cs="CenturyGothic,Bold" w:ascii="CenturyGothic,Bold" w:hAnsi="CenturyGothic,Bold"/>
                <w:b/>
                <w:bCs/>
                <w:kern w:val="0"/>
                <w:sz w:val="20"/>
                <w:szCs w:val="20"/>
                <w:lang w:val="pt-BR" w:eastAsia="en-US" w:bidi="ar-SA"/>
              </w:rPr>
              <w:t xml:space="preserve">. </w:t>
            </w:r>
            <w:r>
              <w:rPr>
                <w:rFonts w:eastAsia="Calibri" w:cs="CenturyGothic,Bold" w:ascii="CenturyGothic,Bold" w:hAnsi="CenturyGothic,Bold"/>
                <w:b/>
                <w:bCs/>
                <w:i/>
                <w:kern w:val="0"/>
                <w:sz w:val="20"/>
                <w:szCs w:val="20"/>
                <w:lang w:val="pt-BR" w:eastAsia="en-US" w:bidi="ar-SA"/>
              </w:rPr>
              <w:t>1. Credenciamento; 2. Hab. Jurídica; 3. Reg. Fiscal e Trabalhista Fed.; 4. Reg. Fiscal Estad./Distrital e Municip.; 5. Qualif. Técnica; 6. Qualif. Econômico-Financeira.</w:t>
            </w:r>
          </w:p>
        </w:tc>
        <w:tc>
          <w:tcPr>
            <w:tcW w:w="1690"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CEIS (aviso)</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CNEP (aviso) (juntamente com CEIS, se não selecionar base)</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commentRangeStart w:id="1"/>
            <w:r>
              <w:rPr>
                <w:rFonts w:eastAsia="Calibri" w:cs="CenturyGothic,Bold" w:ascii="CenturyGothic,Bold" w:hAnsi="CenturyGothic,Bold"/>
                <w:b/>
                <w:bCs/>
                <w:kern w:val="0"/>
                <w:sz w:val="20"/>
                <w:szCs w:val="20"/>
                <w:lang w:val="pt-BR" w:eastAsia="en-US" w:bidi="ar-SA"/>
              </w:rPr>
              <w:t xml:space="preserve">CNCIAI (licitante e </w:t>
            </w:r>
            <w:commentRangeStart w:id="2"/>
            <w:r>
              <w:rPr>
                <w:rFonts w:eastAsia="Calibri" w:cs="CenturyGothic,Bold" w:ascii="CenturyGothic,Bold" w:hAnsi="CenturyGothic,Bold"/>
                <w:b/>
                <w:bCs/>
                <w:kern w:val="0"/>
                <w:sz w:val="20"/>
                <w:szCs w:val="20"/>
                <w:lang w:val="pt-BR" w:eastAsia="en-US" w:bidi="ar-SA"/>
              </w:rPr>
              <w:t>sócio</w:t>
            </w:r>
            <w:r>
              <w:rPr>
                <w:rFonts w:eastAsia="Calibri" w:cs="CenturyGothic,Bold" w:ascii="CenturyGothic,Bold" w:hAnsi="CenturyGothic,Bold"/>
                <w:b/>
                <w:bCs/>
                <w:kern w:val="0"/>
                <w:sz w:val="20"/>
                <w:szCs w:val="20"/>
                <w:lang w:val="pt-BR" w:eastAsia="en-US" w:bidi="ar-SA"/>
              </w:rPr>
            </w:r>
            <w:commentRangeEnd w:id="2"/>
            <w:r>
              <w:commentReference w:id="2"/>
            </w:r>
            <w:r>
              <w:rPr>
                <w:rFonts w:eastAsia="Calibri" w:cs="CenturyGothic,Bold" w:ascii="CenturyGothic,Bold" w:hAnsi="CenturyGothic,Bold"/>
                <w:b/>
                <w:bCs/>
                <w:kern w:val="0"/>
                <w:sz w:val="20"/>
                <w:szCs w:val="20"/>
                <w:lang w:val="pt-BR" w:eastAsia="en-US" w:bidi="ar-SA"/>
              </w:rPr>
              <w:t>) (aviso)</w:t>
            </w:r>
            <w:commentRangeEnd w:id="1"/>
            <w:r>
              <w:commentReference w:id="1"/>
            </w:r>
            <w:r>
              <w:rPr>
                <w:rFonts w:eastAsia="Calibri" w:cs="CenturyGothic,Bold" w:ascii="CenturyGothic,Bold" w:hAnsi="CenturyGothic,Bold"/>
                <w:b/>
                <w:bCs/>
                <w:kern w:val="0"/>
                <w:sz w:val="20"/>
                <w:szCs w:val="20"/>
                <w:lang w:val="pt-BR" w:eastAsia="en-US" w:bidi="ar-SA"/>
              </w:rPr>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e-Sanções (aviso)</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CEEP (aviso)</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TCE (aviso)</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restart"/>
            <w:tcBorders/>
            <w:textDirection w:val="btLr"/>
          </w:tcPr>
          <w:p>
            <w:pPr>
              <w:pStyle w:val="Normal"/>
              <w:widowControl/>
              <w:suppressAutoHyphens w:val="true"/>
              <w:spacing w:lineRule="auto" w:line="240" w:before="0" w:after="0"/>
              <w:ind w:left="113" w:right="113"/>
              <w:jc w:val="center"/>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Habilitação</w:t>
            </w:r>
          </w:p>
        </w:tc>
        <w:tc>
          <w:tcPr>
            <w:tcW w:w="538" w:type="dxa"/>
            <w:vMerge w:val="restart"/>
            <w:tcBorders/>
            <w:textDirection w:val="btLr"/>
            <w:vAlign w:val="center"/>
          </w:tcPr>
          <w:p>
            <w:pPr>
              <w:pStyle w:val="Normal"/>
              <w:widowControl/>
              <w:suppressAutoHyphens w:val="true"/>
              <w:spacing w:lineRule="auto" w:line="240" w:before="0" w:after="0"/>
              <w:ind w:left="113" w:right="113"/>
              <w:jc w:val="center"/>
              <w:rPr>
                <w:rFonts w:ascii="CenturyGothic,Bold" w:hAnsi="CenturyGothic,Bold" w:cs="CenturyGothic,Bold"/>
                <w:b/>
                <w:bCs/>
                <w:sz w:val="20"/>
                <w:szCs w:val="20"/>
                <w:highlight w:val="yellow"/>
              </w:rPr>
            </w:pPr>
            <w:r>
              <w:rPr>
                <w:rFonts w:eastAsia="Calibri" w:cs="CenturyGothic,Bold" w:ascii="CenturyGothic,Bold" w:hAnsi="CenturyGothic,Bold"/>
                <w:b/>
                <w:bCs/>
                <w:kern w:val="0"/>
                <w:sz w:val="20"/>
                <w:szCs w:val="20"/>
                <w:lang w:val="pt-BR" w:eastAsia="en-US" w:bidi="ar-SA"/>
              </w:rPr>
              <w:t>Simplificada ou não</w:t>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eastAsia="Calibri" w:cs="CenturyGothic,Bold" w:ascii="CenturyGothic,Bold" w:hAnsi="CenturyGothic,Bold"/>
                <w:b/>
                <w:bCs/>
                <w:kern w:val="0"/>
                <w:sz w:val="20"/>
                <w:szCs w:val="20"/>
                <w:lang w:val="pt-BR" w:eastAsia="en-US" w:bidi="ar-SA"/>
              </w:rPr>
              <w:t>CADIN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textDirection w:val="btLr"/>
            <w:vAlign w:val="center"/>
          </w:tcPr>
          <w:p>
            <w:pPr>
              <w:pStyle w:val="Normal"/>
              <w:widowControl/>
              <w:suppressAutoHyphens w:val="true"/>
              <w:spacing w:lineRule="auto" w:line="240" w:before="0" w:after="0"/>
              <w:ind w:left="113" w:right="113"/>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Reg. Fiscal Estadual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1853"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textDirection w:val="btLr"/>
            <w:vAlign w:val="center"/>
          </w:tcPr>
          <w:p>
            <w:pPr>
              <w:pStyle w:val="Normal"/>
              <w:widowControl/>
              <w:suppressAutoHyphens w:val="true"/>
              <w:spacing w:lineRule="auto" w:line="240" w:before="0" w:after="0"/>
              <w:ind w:left="113" w:right="113"/>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eastAsia="Calibri" w:cs="CenturyGothic,Bold" w:ascii="CenturyGothic,Bold" w:hAnsi="CenturyGothic,Bold"/>
                <w:b/>
                <w:bCs/>
                <w:kern w:val="0"/>
                <w:sz w:val="20"/>
                <w:szCs w:val="20"/>
                <w:lang w:val="pt-BR" w:eastAsia="en-US" w:bidi="ar-SA"/>
              </w:rPr>
              <w:t>CNDT – Trabalhista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textDirection w:val="btLr"/>
            <w:vAlign w:val="center"/>
          </w:tcPr>
          <w:p>
            <w:pPr>
              <w:pStyle w:val="Normal"/>
              <w:widowControl/>
              <w:suppressAutoHyphens w:val="true"/>
              <w:spacing w:lineRule="auto" w:line="240" w:before="0" w:after="0"/>
              <w:ind w:left="113" w:right="113"/>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CND Federal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textDirection w:val="btLr"/>
            <w:vAlign w:val="center"/>
          </w:tcPr>
          <w:p>
            <w:pPr>
              <w:pStyle w:val="Normal"/>
              <w:widowControl/>
              <w:suppressAutoHyphens w:val="true"/>
              <w:spacing w:lineRule="auto" w:line="240" w:before="0" w:after="0"/>
              <w:ind w:left="113" w:right="113"/>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CRF – FGTS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restart"/>
            <w:tcBorders/>
            <w:textDirection w:val="btLr"/>
            <w:vAlign w:val="center"/>
          </w:tcPr>
          <w:p>
            <w:pPr>
              <w:pStyle w:val="Normal"/>
              <w:widowControl/>
              <w:suppressAutoHyphens w:val="true"/>
              <w:spacing w:lineRule="auto" w:line="240" w:before="0" w:after="0"/>
              <w:ind w:left="113" w:right="113"/>
              <w:jc w:val="center"/>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Não simplificada (complementar)</w:t>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eastAsia="Calibri" w:cs="CenturyGothic,Bold" w:ascii="CenturyGothic,Bold" w:hAnsi="CenturyGothic,Bold"/>
                <w:b/>
                <w:bCs/>
                <w:kern w:val="0"/>
                <w:sz w:val="20"/>
                <w:szCs w:val="20"/>
                <w:lang w:val="pt-BR" w:eastAsia="en-US" w:bidi="ar-SA"/>
              </w:rPr>
              <w:t>Habilitação Jurídica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CNPJ/CPF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lang w:val="en-US"/>
              </w:rPr>
            </w:pPr>
            <w:r>
              <w:rPr>
                <w:rFonts w:eastAsia="Calibri" w:cs="CenturyGothic,Bold" w:ascii="CenturyGothic,Bold" w:hAnsi="CenturyGothic,Bold"/>
                <w:b/>
                <w:bCs/>
                <w:kern w:val="0"/>
                <w:sz w:val="20"/>
                <w:szCs w:val="20"/>
                <w:lang w:val="en-US" w:eastAsia="en-US" w:bidi="ar-SA"/>
              </w:rPr>
              <w:t>Decl. Art. 7º., XXXIII da CF</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lang w:val="en-US"/>
              </w:rPr>
            </w:pPr>
            <w:r>
              <w:rPr>
                <w:rFonts w:cs="CenturyGothic,Bold" w:ascii="CenturyGothic,Bold" w:hAnsi="CenturyGothic,Bold"/>
                <w:b/>
                <w:bCs/>
                <w:sz w:val="20"/>
                <w:szCs w:val="20"/>
                <w:highlight w:val="yellow"/>
                <w:lang w:val="en-US"/>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lang w:val="en-US"/>
              </w:rPr>
            </w:pPr>
            <w:r>
              <w:rPr>
                <w:rFonts w:cs="CenturyGothic,Bold" w:ascii="CenturyGothic,Bold" w:hAnsi="CenturyGothic,Bold"/>
                <w:b/>
                <w:bCs/>
                <w:sz w:val="20"/>
                <w:szCs w:val="20"/>
                <w:highlight w:val="yellow"/>
                <w:lang w:val="en-US"/>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lang w:val="en-US"/>
              </w:rPr>
            </w:pPr>
            <w:r>
              <w:rPr>
                <w:rFonts w:cs="CenturyGothic,Bold" w:ascii="CenturyGothic,Bold" w:hAnsi="CenturyGothic,Bold"/>
                <w:b/>
                <w:bCs/>
                <w:sz w:val="20"/>
                <w:szCs w:val="20"/>
                <w:lang w:val="en-US"/>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lang w:val="en-US"/>
              </w:rPr>
            </w:pPr>
            <w:r>
              <w:rPr>
                <w:rFonts w:cs="CenturyGothic,Bold" w:ascii="CenturyGothic,Bold" w:hAnsi="CenturyGothic,Bold"/>
                <w:b/>
                <w:bCs/>
                <w:sz w:val="20"/>
                <w:szCs w:val="20"/>
                <w:lang w:val="en-US"/>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Inscr. Est. e/ou Mun.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Reg. Fiscal Est ou Mun.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Declaração isenção tributos, se for o caso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Cert. Neg. Insolvência (TR, se pessoa física)</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Cert. Falência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Demonstrações contábeis dos 2 últimos anos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Índices: liquidez geral, solvência geral e liq. Corrente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Decl. De conhecimento de informações e locais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Registro ent. Profis.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Atestado Capacidade Técnica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Prova de atendimento aos requisitos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Decl. Art. 1º., III e IV e art. 5º., III da CF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63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538" w:type="dxa"/>
            <w:vMerge w:val="continue"/>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cs="CenturyGothic,Bold" w:ascii="CenturyGothic,Bold" w:hAnsi="CenturyGothic,Bold"/>
                <w:b/>
                <w:bCs/>
                <w:sz w:val="20"/>
                <w:szCs w:val="20"/>
              </w:rPr>
            </w:r>
          </w:p>
        </w:tc>
        <w:tc>
          <w:tcPr>
            <w:tcW w:w="5812" w:type="dxa"/>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Decl. Normas relativas à saúde e segurança no trabalho (art. 117, par. Único, Constituição Estadual) (TR)</w:t>
            </w:r>
          </w:p>
        </w:tc>
        <w:tc>
          <w:tcPr>
            <w:tcW w:w="1690" w:type="dxa"/>
            <w:tcBorders/>
            <w:shd w:color="auto" w:fill="auto" w:val="clea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tcBorders/>
            <w:textDirection w:val="btLr"/>
          </w:tcPr>
          <w:p>
            <w:pPr>
              <w:pStyle w:val="Normal"/>
              <w:widowControl/>
              <w:suppressAutoHyphens w:val="true"/>
              <w:spacing w:lineRule="auto" w:line="240" w:before="0" w:after="0"/>
              <w:ind w:left="113" w:right="113"/>
              <w:jc w:val="center"/>
              <w:rPr>
                <w:rFonts w:ascii="CenturyGothic,Bold" w:hAnsi="CenturyGothic,Bold" w:cs="CenturyGothic,Bold"/>
                <w:b/>
                <w:bCs/>
                <w:sz w:val="20"/>
                <w:szCs w:val="20"/>
              </w:rPr>
            </w:pPr>
            <w:r>
              <w:rPr>
                <w:rFonts w:cs="CenturyGothic,Bold" w:ascii="CenturyGothic,Bold" w:hAnsi="CenturyGothic,Bold"/>
                <w:b/>
                <w:bCs/>
                <w:sz w:val="20"/>
                <w:szCs w:val="20"/>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Conta no Banco do Brasil</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restart"/>
            <w:tcBorders/>
            <w:textDirection w:val="btLr"/>
          </w:tcPr>
          <w:p>
            <w:pPr>
              <w:pStyle w:val="Normal"/>
              <w:widowControl/>
              <w:suppressAutoHyphens w:val="true"/>
              <w:spacing w:lineRule="auto" w:line="240" w:before="0" w:after="0"/>
              <w:ind w:left="113" w:right="113"/>
              <w:jc w:val="center"/>
              <w:rPr>
                <w:rFonts w:ascii="CenturyGothic,Bold" w:hAnsi="CenturyGothic,Bold" w:cs="CenturyGothic,Bold"/>
                <w:b/>
                <w:bCs/>
                <w:sz w:val="20"/>
                <w:szCs w:val="20"/>
                <w:highlight w:val="yellow"/>
              </w:rPr>
            </w:pPr>
            <w:r>
              <w:rPr>
                <w:rFonts w:eastAsia="Calibri" w:cs="CenturyGothic,Bold" w:ascii="CenturyGothic,Bold" w:hAnsi="CenturyGothic,Bold"/>
                <w:b/>
                <w:bCs/>
                <w:kern w:val="0"/>
                <w:sz w:val="20"/>
                <w:szCs w:val="20"/>
                <w:lang w:val="pt-BR" w:eastAsia="en-US" w:bidi="ar-SA"/>
              </w:rPr>
              <w:t>Proposta</w:t>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Valor unitário ou total de acordo com o edital</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Marca (edital)</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Fabricante, quando aplicável (edital)</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Validade da Proposta ____ dias (edital)</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atLeas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rPr>
            </w:pPr>
            <w:r>
              <w:rPr>
                <w:rFonts w:eastAsia="Calibri" w:cs="CenturyGothic,Bold" w:ascii="CenturyGothic,Bold" w:hAnsi="CenturyGothic,Bold"/>
                <w:b/>
                <w:bCs/>
                <w:kern w:val="0"/>
                <w:sz w:val="20"/>
                <w:szCs w:val="20"/>
                <w:lang w:val="pt-BR" w:eastAsia="en-US" w:bidi="ar-SA"/>
              </w:rPr>
              <w:t>Prazo de entrega: _____ dias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eastAsia="Calibri" w:cs="CenturyGothic,Bold" w:ascii="CenturyGothic,Bold" w:hAnsi="CenturyGothic,Bold"/>
                <w:b/>
                <w:bCs/>
                <w:kern w:val="0"/>
                <w:sz w:val="20"/>
                <w:szCs w:val="20"/>
                <w:lang w:val="pt-BR" w:eastAsia="en-US" w:bidi="ar-SA"/>
              </w:rPr>
              <w:t>Garantia: ___________________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eastAsia="Calibri" w:cs="CenturyGothic,Bold" w:ascii="CenturyGothic,Bold" w:hAnsi="CenturyGothic,Bold"/>
                <w:b/>
                <w:bCs/>
                <w:kern w:val="0"/>
                <w:sz w:val="20"/>
                <w:szCs w:val="20"/>
                <w:lang w:val="pt-BR" w:eastAsia="en-US" w:bidi="ar-SA"/>
              </w:rPr>
              <w:t>Prazo de pagamento: 28 dias (TR)</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r>
        <w:trPr>
          <w:trHeight w:val="397" w:hRule="exact"/>
        </w:trPr>
        <w:tc>
          <w:tcPr>
            <w:tcW w:w="421" w:type="dxa"/>
            <w:vMerge w:val="continue"/>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6350" w:type="dxa"/>
            <w:gridSpan w:val="2"/>
            <w:tcBorders/>
            <w:vAlign w:val="center"/>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eastAsia="Calibri" w:cs="CenturyGothic,Bold" w:ascii="CenturyGothic,Bold" w:hAnsi="CenturyGothic,Bold"/>
                <w:b/>
                <w:bCs/>
                <w:kern w:val="0"/>
                <w:sz w:val="20"/>
                <w:szCs w:val="20"/>
                <w:lang w:val="pt-BR" w:eastAsia="en-US" w:bidi="ar-SA"/>
              </w:rPr>
              <w:t>Concordância com os Termos da Resolução 8548 de 13/12/2023 - USP</w:t>
            </w:r>
          </w:p>
        </w:tc>
        <w:tc>
          <w:tcPr>
            <w:tcW w:w="1690"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c>
          <w:tcPr>
            <w:tcW w:w="1853" w:type="dxa"/>
            <w:tcBorders/>
          </w:tcPr>
          <w:p>
            <w:pPr>
              <w:pStyle w:val="Normal"/>
              <w:widowControl/>
              <w:suppressAutoHyphens w:val="true"/>
              <w:spacing w:lineRule="auto" w:line="240" w:before="0" w:after="0"/>
              <w:jc w:val="left"/>
              <w:rPr>
                <w:rFonts w:ascii="CenturyGothic,Bold" w:hAnsi="CenturyGothic,Bold" w:cs="CenturyGothic,Bold"/>
                <w:b/>
                <w:bCs/>
                <w:sz w:val="20"/>
                <w:szCs w:val="20"/>
                <w:highlight w:val="yellow"/>
              </w:rPr>
            </w:pPr>
            <w:r>
              <w:rPr>
                <w:rFonts w:cs="CenturyGothic,Bold" w:ascii="CenturyGothic,Bold" w:hAnsi="CenturyGothic,Bold"/>
                <w:b/>
                <w:bCs/>
                <w:sz w:val="20"/>
                <w:szCs w:val="20"/>
                <w:highlight w:val="yellow"/>
              </w:rPr>
            </w:r>
          </w:p>
        </w:tc>
      </w:tr>
    </w:tbl>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sectPr>
          <w:type w:val="nextPage"/>
          <w:pgSz w:w="11906" w:h="16838"/>
          <w:pgMar w:left="1134" w:right="567" w:gutter="0" w:header="0" w:top="567" w:footer="0" w:bottom="851"/>
          <w:pgNumType w:fmt="decimal"/>
          <w:formProt w:val="false"/>
          <w:textDirection w:val="lrTb"/>
          <w:docGrid w:type="default" w:linePitch="360" w:charSpace="4096"/>
        </w:sect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sectPr>
          <w:type w:val="nextPage"/>
          <w:pgSz w:w="11906" w:h="16838"/>
          <w:pgMar w:left="1134" w:right="567" w:gutter="0" w:header="0" w:top="567" w:footer="0" w:bottom="851"/>
          <w:pgNumType w:fmt="decimal"/>
          <w:formProt w:val="false"/>
          <w:textDirection w:val="lrTb"/>
          <w:docGrid w:type="default" w:linePitch="360" w:charSpace="4096"/>
        </w:sect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r>
        <w:br w:type="page"/>
      </w:r>
    </w:p>
    <w:tbl>
      <w:tblPr>
        <w:tblW w:w="11160" w:type="dxa"/>
        <w:jc w:val="left"/>
        <w:tblInd w:w="100" w:type="dxa"/>
        <w:tblLayout w:type="fixed"/>
        <w:tblCellMar>
          <w:top w:w="100" w:type="dxa"/>
          <w:left w:w="100" w:type="dxa"/>
          <w:bottom w:w="100" w:type="dxa"/>
          <w:right w:w="100" w:type="dxa"/>
        </w:tblCellMar>
        <w:tblLook w:val="04a0" w:noHBand="0" w:noVBand="1" w:firstColumn="1" w:lastRow="0" w:lastColumn="0" w:firstRow="1"/>
      </w:tblPr>
      <w:tblGrid>
        <w:gridCol w:w="4863"/>
        <w:gridCol w:w="4152"/>
        <w:gridCol w:w="2145"/>
      </w:tblGrid>
      <w:tr>
        <w:trPr/>
        <w:tc>
          <w:tcPr>
            <w:tcW w:w="4863" w:type="dxa"/>
            <w:tcBorders>
              <w:top w:val="single" w:sz="8" w:space="0" w:color="000000"/>
              <w:left w:val="single" w:sz="8" w:space="0" w:color="000000"/>
              <w:bottom w:val="single" w:sz="8" w:space="0" w:color="000000"/>
              <w:right w:val="single" w:sz="8" w:space="0" w:color="000000"/>
            </w:tcBorders>
            <w:vAlign w:val="center"/>
          </w:tcPr>
          <w:p>
            <w:pPr>
              <w:pStyle w:val="Contedodatabela"/>
              <w:pageBreakBefore/>
              <w:widowControl/>
              <w:spacing w:lineRule="auto" w:line="331" w:before="0" w:after="0"/>
              <w:rPr>
                <w:color w:val="FF0000"/>
              </w:rPr>
            </w:pPr>
            <w:r>
              <w:rPr>
                <w:rFonts w:cs="CenturyGothic,Bold" w:ascii="Arial;sans-serif" w:hAnsi="Arial;sans-serif"/>
                <w:bCs/>
                <w:color w:val="FF0000"/>
                <w:sz w:val="32"/>
                <w:szCs w:val="16"/>
              </w:rPr>
              <w:t>{{ numero_sei }}</w:t>
            </w:r>
          </w:p>
        </w:tc>
        <w:tc>
          <w:tcPr>
            <w:tcW w:w="4152"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331" w:before="0" w:after="0"/>
              <w:rPr>
                <w:color w:val="FF0000"/>
              </w:rPr>
            </w:pPr>
            <w:r>
              <w:rPr>
                <w:rFonts w:cs="CenturyGothic,Bold" w:ascii="Arial;sans-serif" w:hAnsi="Arial;sans-serif"/>
                <w:bCs/>
                <w:color w:val="FF0000"/>
                <w:sz w:val="32"/>
                <w:szCs w:val="16"/>
              </w:rPr>
              <w:t>{{ numero_compra }}</w:t>
            </w:r>
          </w:p>
        </w:tc>
        <w:tc>
          <w:tcPr>
            <w:tcW w:w="2145"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jc w:val="center"/>
              <w:rPr>
                <w:color w:val="FF0000"/>
              </w:rPr>
            </w:pPr>
            <w:r>
              <w:rPr>
                <w:rFonts w:cs="CenturyGothic,Bold" w:ascii="Arial;sans-serif" w:hAnsi="Arial;sans-serif"/>
                <w:bCs/>
                <w:color w:val="FF0000"/>
                <w:szCs w:val="16"/>
              </w:rPr>
              <w:t>{{ nome_agente_contratacao }}</w:t>
            </w:r>
          </w:p>
        </w:tc>
      </w:tr>
      <w:tr>
        <w:trPr/>
        <w:tc>
          <w:tcPr>
            <w:tcW w:w="4863"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331" w:before="0" w:after="0"/>
              <w:rPr>
                <w:color w:val="FF0000"/>
              </w:rPr>
            </w:pPr>
            <w:r>
              <w:rPr>
                <w:rFonts w:cs="CenturyGothic,Bold" w:ascii="Arial;sans-serif" w:hAnsi="Arial;sans-serif"/>
                <w:bCs/>
                <w:color w:val="FF0000"/>
                <w:szCs w:val="16"/>
              </w:rPr>
              <w:t>{{ modalidade }}</w:t>
            </w:r>
          </w:p>
          <w:p>
            <w:pPr>
              <w:pStyle w:val="Contedodatabela"/>
              <w:widowControl/>
              <w:spacing w:lineRule="auto" w:line="331" w:before="0" w:after="0"/>
              <w:rPr>
                <w:color w:val="FF0000"/>
              </w:rPr>
            </w:pPr>
            <w:r>
              <w:rPr>
                <w:rFonts w:cs="CenturyGothic,Bold" w:ascii="Arial;sans-serif" w:hAnsi="Arial;sans-serif"/>
                <w:bCs/>
                <w:color w:val="FF0000"/>
                <w:szCs w:val="16"/>
              </w:rPr>
              <w:t>{{ tipo }}</w:t>
            </w:r>
          </w:p>
        </w:tc>
        <w:tc>
          <w:tcPr>
            <w:tcW w:w="4152" w:type="dxa"/>
            <w:tcBorders>
              <w:top w:val="single" w:sz="8" w:space="0" w:color="000000"/>
              <w:left w:val="single" w:sz="8" w:space="0" w:color="000000"/>
              <w:bottom w:val="single" w:sz="8" w:space="0" w:color="000000"/>
              <w:right w:val="single" w:sz="8" w:space="0" w:color="000000"/>
            </w:tcBorders>
            <w:vAlign w:val="center"/>
          </w:tcPr>
          <w:p>
            <w:pPr>
              <w:pStyle w:val="Contedodatabela"/>
              <w:spacing w:before="0" w:after="200"/>
              <w:rPr/>
            </w:pPr>
            <w:r>
              <w:rPr/>
            </w:r>
          </w:p>
        </w:tc>
        <w:tc>
          <w:tcPr>
            <w:tcW w:w="2145" w:type="dxa"/>
            <w:tcBorders>
              <w:top w:val="single" w:sz="8" w:space="0" w:color="000000"/>
              <w:left w:val="single" w:sz="8" w:space="0" w:color="000000"/>
              <w:bottom w:val="single" w:sz="8" w:space="0" w:color="000000"/>
              <w:right w:val="single" w:sz="8" w:space="0" w:color="000000"/>
            </w:tcBorders>
            <w:vAlign w:val="center"/>
          </w:tcPr>
          <w:p>
            <w:pPr>
              <w:pStyle w:val="Contedodatabela"/>
              <w:spacing w:before="0" w:after="200"/>
              <w:rPr/>
            </w:pPr>
            <w:r>
              <w:rPr/>
            </w:r>
          </w:p>
        </w:tc>
      </w:tr>
      <w:tr>
        <w:trPr/>
        <w:tc>
          <w:tcPr>
            <w:tcW w:w="4863"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331" w:before="0" w:after="0"/>
              <w:rPr>
                <w:color w:val="FF0000"/>
              </w:rPr>
            </w:pPr>
            <w:r>
              <w:rPr>
                <w:rFonts w:cs="CenturyGothic,Bold" w:ascii="Arial;sans-serif" w:hAnsi="Arial;sans-serif"/>
                <w:bCs/>
                <w:color w:val="FF0000"/>
              </w:rPr>
              <w:t>{{ objeto }}</w:t>
            </w:r>
          </w:p>
        </w:tc>
        <w:tc>
          <w:tcPr>
            <w:tcW w:w="4152" w:type="dxa"/>
            <w:tcBorders>
              <w:top w:val="single" w:sz="8" w:space="0" w:color="000000"/>
              <w:left w:val="single" w:sz="8" w:space="0" w:color="000000"/>
              <w:bottom w:val="single" w:sz="8" w:space="0" w:color="000000"/>
              <w:right w:val="single" w:sz="8" w:space="0" w:color="000000"/>
            </w:tcBorders>
            <w:vAlign w:val="center"/>
          </w:tcPr>
          <w:p>
            <w:pPr>
              <w:pStyle w:val="Contedodatabela"/>
              <w:spacing w:before="0" w:after="200"/>
              <w:rPr/>
            </w:pPr>
            <w:r>
              <w:rPr/>
            </w:r>
          </w:p>
        </w:tc>
        <w:tc>
          <w:tcPr>
            <w:tcW w:w="2145"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Cs/>
                <w:color w:val="000000"/>
                <w:sz w:val="20"/>
                <w:szCs w:val="16"/>
              </w:rPr>
            </w:pPr>
            <w:r>
              <w:rPr>
                <w:rFonts w:cs="CenturyGothic,Bold" w:ascii="Arial;sans-serif" w:hAnsi="Arial;sans-serif"/>
                <w:bCs/>
                <w:color w:val="FF0000"/>
                <w:sz w:val="20"/>
                <w:szCs w:val="16"/>
              </w:rPr>
              <w:t>{{ valor_total_previsto }}</w:t>
            </w:r>
          </w:p>
        </w:tc>
      </w:tr>
    </w:tbl>
    <w:p>
      <w:pPr>
        <w:pStyle w:val="Normal"/>
        <w:spacing w:before="0" w:after="0"/>
        <w:rPr/>
      </w:pPr>
      <w:r>
        <w:rPr/>
      </w:r>
    </w:p>
    <w:tbl>
      <w:tblPr>
        <w:tblW w:w="11160" w:type="dxa"/>
        <w:jc w:val="left"/>
        <w:tblInd w:w="100" w:type="dxa"/>
        <w:tblLayout w:type="fixed"/>
        <w:tblCellMar>
          <w:top w:w="100" w:type="dxa"/>
          <w:left w:w="100" w:type="dxa"/>
          <w:bottom w:w="100" w:type="dxa"/>
          <w:right w:w="100" w:type="dxa"/>
        </w:tblCellMar>
        <w:tblLook w:val="04a0" w:noHBand="0" w:noVBand="1" w:firstColumn="1" w:lastRow="0" w:lastColumn="0" w:firstRow="1"/>
      </w:tblPr>
      <w:tblGrid>
        <w:gridCol w:w="6400"/>
        <w:gridCol w:w="1474"/>
        <w:gridCol w:w="3286"/>
      </w:tblGrid>
      <w:tr>
        <w:trPr/>
        <w:tc>
          <w:tcPr>
            <w:tcW w:w="6400"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Cs/>
                <w:color w:val="000000"/>
                <w:szCs w:val="16"/>
              </w:rPr>
            </w:pPr>
            <w:r>
              <w:rPr>
                <w:rFonts w:cs="CenturyGothic,Bold" w:ascii="Arial;sans-serif" w:hAnsi="Arial;sans-serif"/>
                <w:bCs/>
                <w:color w:val="000000"/>
                <w:szCs w:val="16"/>
              </w:rPr>
            </w:r>
          </w:p>
        </w:tc>
        <w:tc>
          <w:tcPr>
            <w:tcW w:w="1474"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40"/>
              <w:rPr>
                <w:b/>
                <w:bCs/>
                <w:color w:val="000000"/>
                <w:sz w:val="16"/>
                <w:szCs w:val="16"/>
              </w:rPr>
            </w:pPr>
            <w:sdt>
              <w:sdtPr>
                <w:id w:val="1887218767"/>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Demanda</w:t>
            </w:r>
          </w:p>
          <w:p>
            <w:pPr>
              <w:pStyle w:val="Contedodatabela"/>
              <w:widowControl/>
              <w:spacing w:lineRule="auto" w:line="240"/>
              <w:rPr>
                <w:b/>
                <w:bCs/>
                <w:color w:val="000000"/>
                <w:sz w:val="16"/>
                <w:szCs w:val="16"/>
              </w:rPr>
            </w:pPr>
            <w:sdt>
              <w:sdtPr>
                <w:id w:val="957836193"/>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TR</w:t>
            </w:r>
          </w:p>
          <w:p>
            <w:pPr>
              <w:pStyle w:val="Contedodatabela"/>
              <w:widowControl/>
              <w:spacing w:lineRule="auto" w:line="240"/>
              <w:rPr>
                <w:b/>
                <w:bCs/>
                <w:color w:val="000000"/>
                <w:sz w:val="16"/>
                <w:szCs w:val="16"/>
              </w:rPr>
            </w:pPr>
            <w:sdt>
              <w:sdtPr>
                <w:id w:val="371201882"/>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Minuta</w:t>
            </w:r>
          </w:p>
          <w:p>
            <w:pPr>
              <w:pStyle w:val="Contedodatabela"/>
              <w:widowControl/>
              <w:spacing w:lineRule="auto" w:line="240"/>
              <w:rPr>
                <w:b/>
                <w:bCs/>
                <w:color w:val="000000"/>
                <w:sz w:val="16"/>
                <w:szCs w:val="16"/>
              </w:rPr>
            </w:pPr>
            <w:sdt>
              <w:sdtPr>
                <w:id w:val="-1335213173"/>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Objeto</w:t>
            </w:r>
          </w:p>
          <w:p>
            <w:pPr>
              <w:pStyle w:val="Contedodatabela"/>
              <w:widowControl/>
              <w:spacing w:lineRule="auto" w:line="240" w:before="0" w:after="200"/>
              <w:rPr>
                <w:b/>
                <w:bCs/>
                <w:color w:val="000000"/>
                <w:sz w:val="16"/>
                <w:szCs w:val="16"/>
              </w:rPr>
            </w:pPr>
            <w:sdt>
              <w:sdtPr>
                <w:id w:val="-63576501"/>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Grade</w:t>
            </w:r>
          </w:p>
        </w:tc>
        <w:tc>
          <w:tcPr>
            <w:tcW w:w="3286"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40"/>
              <w:ind w:right="113"/>
              <w:rPr>
                <w:b/>
                <w:bCs/>
                <w:color w:val="000000"/>
                <w:sz w:val="16"/>
                <w:szCs w:val="16"/>
              </w:rPr>
            </w:pPr>
            <w:sdt>
              <w:sdtPr>
                <w:id w:val="-1529016125"/>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Reserva</w:t>
            </w:r>
          </w:p>
          <w:p>
            <w:pPr>
              <w:pStyle w:val="Contedodatabela"/>
              <w:widowControl/>
              <w:spacing w:lineRule="auto" w:line="240"/>
              <w:ind w:right="113"/>
              <w:rPr>
                <w:b/>
                <w:bCs/>
                <w:color w:val="000000"/>
                <w:sz w:val="16"/>
                <w:szCs w:val="16"/>
              </w:rPr>
            </w:pPr>
            <w:sdt>
              <w:sdtPr>
                <w:id w:val="2029445985"/>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Disputa</w:t>
            </w:r>
          </w:p>
          <w:p>
            <w:pPr>
              <w:pStyle w:val="Contedodatabela"/>
              <w:widowControl/>
              <w:spacing w:lineRule="auto" w:line="240"/>
              <w:ind w:right="113"/>
              <w:rPr>
                <w:b/>
                <w:bCs/>
                <w:color w:val="000000"/>
                <w:sz w:val="16"/>
                <w:szCs w:val="16"/>
              </w:rPr>
            </w:pPr>
            <w:sdt>
              <w:sdtPr>
                <w:id w:val="364725386"/>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Conferência</w:t>
            </w:r>
          </w:p>
          <w:p>
            <w:pPr>
              <w:pStyle w:val="Contedodatabela"/>
              <w:widowControl/>
              <w:spacing w:lineRule="auto" w:line="240"/>
              <w:ind w:right="113"/>
              <w:rPr>
                <w:b/>
                <w:bCs/>
                <w:color w:val="000000"/>
                <w:sz w:val="16"/>
                <w:szCs w:val="16"/>
              </w:rPr>
            </w:pPr>
            <w:sdt>
              <w:sdtPr>
                <w:id w:val="-938056591"/>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Adequação Reserva</w:t>
            </w:r>
          </w:p>
          <w:p>
            <w:pPr>
              <w:pStyle w:val="Contedodatabela"/>
              <w:widowControl/>
              <w:spacing w:lineRule="auto" w:line="240"/>
              <w:ind w:right="113"/>
              <w:rPr>
                <w:b/>
                <w:bCs/>
                <w:color w:val="000000"/>
                <w:sz w:val="16"/>
                <w:szCs w:val="16"/>
              </w:rPr>
            </w:pPr>
            <w:sdt>
              <w:sdtPr>
                <w:id w:val="-493019461"/>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Conferência</w:t>
            </w:r>
          </w:p>
          <w:p>
            <w:pPr>
              <w:pStyle w:val="Contedodatabela"/>
              <w:widowControl/>
              <w:spacing w:lineRule="auto" w:line="240"/>
              <w:ind w:right="113"/>
              <w:rPr>
                <w:b/>
                <w:bCs/>
                <w:color w:val="000000"/>
                <w:sz w:val="16"/>
                <w:szCs w:val="16"/>
              </w:rPr>
            </w:pPr>
            <w:sdt>
              <w:sdtPr>
                <w:id w:val="1185403504"/>
                <w14:checkbox>
                  <w14:checked w14:val="0"/>
                  <w14:checkedState w14:val="2612"/>
                  <w14:uncheckedState w14:val="2610"/>
                </w14:checkbox>
              </w:sdtPr>
              <w:sdtContent>
                <w:r>
                  <w:rPr>
                    <w:rFonts w:eastAsia="MS Gothic" w:ascii="MS Gothic" w:hAnsi="MS Gothic"/>
                    <w:color w:val="000000"/>
                    <w:sz w:val="16"/>
                    <w:szCs w:val="16"/>
                  </w:rPr>
                </w:r>
                <w:r>
                  <w:rPr>
                    <w:rFonts w:eastAsia="MS Gothic" w:ascii="MS Gothic" w:hAnsi="MS Gothic"/>
                    <w:color w:val="000000"/>
                    <w:sz w:val="16"/>
                    <w:szCs w:val="16"/>
                  </w:rPr>
                  <w:t>☐</w:t>
                </w:r>
              </w:sdtContent>
            </w:sdt>
            <w:r>
              <w:rPr>
                <w:color w:val="000000"/>
                <w:sz w:val="16"/>
                <w:szCs w:val="16"/>
              </w:rPr>
              <w:t xml:space="preserve"> </w:t>
            </w:r>
            <w:r>
              <w:rPr>
                <w:color w:val="000000"/>
                <w:sz w:val="16"/>
                <w:szCs w:val="16"/>
              </w:rPr>
              <w:t>Liberação compra</w:t>
            </w:r>
          </w:p>
          <w:p>
            <w:pPr>
              <w:pStyle w:val="Contedodatabela"/>
              <w:widowControl/>
              <w:spacing w:lineRule="auto" w:line="240"/>
              <w:ind w:right="113"/>
              <w:rPr>
                <w:color w:val="000000"/>
                <w:sz w:val="16"/>
                <w:szCs w:val="16"/>
              </w:rPr>
            </w:pPr>
            <w:sdt>
              <w:sdtPr>
                <w:id w:val="2012559971"/>
                <w14:checkbox>
                  <w14:checked w14:val="0"/>
                  <w14:checkedState w14:val="2612"/>
                  <w14:uncheckedState w14:val="2610"/>
                </w14:checkbox>
              </w:sdtPr>
              <w:sdtContent>
                <w:r>
                  <w:rPr>
                    <w:rFonts w:eastAsia="MS Gothic" w:ascii="MS Gothic" w:hAnsi="MS Gothic"/>
                    <w:color w:val="000000"/>
                    <w:sz w:val="16"/>
                    <w:szCs w:val="16"/>
                  </w:rPr>
                </w:r>
                <w:r>
                  <w:rPr>
                    <w:rFonts w:eastAsia="MS Gothic" w:ascii="MS Gothic" w:hAnsi="MS Gothic"/>
                    <w:color w:val="000000"/>
                    <w:sz w:val="16"/>
                    <w:szCs w:val="16"/>
                  </w:rPr>
                  <w:t>☐</w:t>
                </w:r>
              </w:sdtContent>
            </w:sdt>
            <w:r>
              <w:rPr>
                <w:color w:val="000000"/>
                <w:sz w:val="16"/>
                <w:szCs w:val="16"/>
              </w:rPr>
              <w:t xml:space="preserve"> </w:t>
            </w:r>
            <w:r>
              <w:rPr>
                <w:color w:val="000000"/>
                <w:sz w:val="16"/>
                <w:szCs w:val="16"/>
              </w:rPr>
              <w:t>Certidões</w:t>
            </w:r>
          </w:p>
          <w:p>
            <w:pPr>
              <w:pStyle w:val="Contedodatabela"/>
              <w:widowControl/>
              <w:spacing w:lineRule="auto" w:line="240" w:before="0" w:after="200"/>
              <w:ind w:right="113"/>
              <w:rPr>
                <w:bCs/>
                <w:color w:val="000000"/>
                <w:sz w:val="16"/>
                <w:szCs w:val="16"/>
              </w:rPr>
            </w:pPr>
            <w:sdt>
              <w:sdtPr>
                <w:id w:val="-1165319269"/>
                <w14:checkbox>
                  <w14:checked w14:val="0"/>
                  <w14:checkedState w14:val="2612"/>
                  <w14:uncheckedState w14:val="2610"/>
                </w14:checkbox>
              </w:sdtPr>
              <w:sdtContent>
                <w:r>
                  <w:rPr>
                    <w:rFonts w:eastAsia="MS Gothic" w:ascii="MS Gothic" w:hAnsi="MS Gothic"/>
                    <w:bCs/>
                    <w:color w:val="000000"/>
                    <w:sz w:val="16"/>
                    <w:szCs w:val="16"/>
                  </w:rPr>
                </w:r>
                <w:r>
                  <w:rPr>
                    <w:rFonts w:eastAsia="MS Gothic" w:ascii="MS Gothic" w:hAnsi="MS Gothic"/>
                    <w:bCs/>
                    <w:color w:val="000000"/>
                    <w:sz w:val="16"/>
                    <w:szCs w:val="16"/>
                  </w:rPr>
                  <w:t>☐</w:t>
                </w:r>
              </w:sdtContent>
            </w:sdt>
            <w:r>
              <w:rPr>
                <w:bCs/>
                <w:color w:val="000000"/>
                <w:sz w:val="16"/>
                <w:szCs w:val="16"/>
              </w:rPr>
              <w:t xml:space="preserve"> </w:t>
            </w:r>
            <w:r>
              <w:rPr>
                <w:bCs/>
                <w:color w:val="000000"/>
                <w:sz w:val="16"/>
                <w:szCs w:val="16"/>
              </w:rPr>
              <w:t>Empenho</w:t>
            </w:r>
          </w:p>
        </w:tc>
      </w:tr>
    </w:tbl>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br/>
        <w:br/>
        <w:br/>
        <w:br/>
        <w:br/>
        <w:br/>
        <w:br/>
        <w:b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r>
    </w:p>
    <w:p>
      <w:pPr>
        <w:pStyle w:val="BodyText"/>
        <w:spacing w:lineRule="auto" w:line="240"/>
        <w:rPr>
          <w:rFonts w:ascii="CenturyGothic,Bold" w:hAnsi="CenturyGothic,Bold" w:cs="CenturyGothic,Bold"/>
          <w:b/>
          <w:bCs/>
          <w:sz w:val="16"/>
          <w:szCs w:val="16"/>
        </w:rPr>
      </w:pPr>
      <w:r>
        <w:rPr>
          <w:rFonts w:cs="CenturyGothic,Bold" w:ascii="CenturyGothic,Bold" w:hAnsi="CenturyGothic,Bold"/>
          <w:b/>
          <w:bCs/>
          <w:sz w:val="16"/>
          <w:szCs w:val="16"/>
        </w:rPr>
        <w:br/>
      </w:r>
    </w:p>
    <w:tbl>
      <w:tblPr>
        <w:tblW w:w="11070" w:type="dxa"/>
        <w:jc w:val="left"/>
        <w:tblInd w:w="100" w:type="dxa"/>
        <w:tblLayout w:type="fixed"/>
        <w:tblCellMar>
          <w:top w:w="100" w:type="dxa"/>
          <w:left w:w="100" w:type="dxa"/>
          <w:bottom w:w="100" w:type="dxa"/>
          <w:right w:w="100" w:type="dxa"/>
        </w:tblCellMar>
        <w:tblLook w:val="04a0" w:noHBand="0" w:noVBand="1" w:firstColumn="1" w:lastRow="0" w:lastColumn="0" w:firstRow="1"/>
      </w:tblPr>
      <w:tblGrid>
        <w:gridCol w:w="1109"/>
        <w:gridCol w:w="1299"/>
        <w:gridCol w:w="652"/>
        <w:gridCol w:w="666"/>
        <w:gridCol w:w="1316"/>
        <w:gridCol w:w="3254"/>
        <w:gridCol w:w="1957"/>
        <w:gridCol w:w="557"/>
        <w:gridCol w:w="258"/>
      </w:tblGrid>
      <w:tr>
        <w:trPr/>
        <w:tc>
          <w:tcPr>
            <w:tcW w:w="1109"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
                <w:bCs/>
                <w:color w:val="000000"/>
                <w:sz w:val="18"/>
                <w:szCs w:val="16"/>
              </w:rPr>
            </w:pPr>
            <w:r>
              <w:rPr>
                <w:rFonts w:cs="CenturyGothic,Bold" w:ascii="Arial;sans-serif" w:hAnsi="Arial;sans-serif"/>
                <w:b/>
                <w:bCs/>
                <w:color w:val="000000"/>
                <w:sz w:val="18"/>
                <w:szCs w:val="16"/>
              </w:rPr>
              <w:t>Demanda</w:t>
            </w:r>
          </w:p>
        </w:tc>
        <w:tc>
          <w:tcPr>
            <w:tcW w:w="1299"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
                <w:bCs/>
                <w:color w:val="000000"/>
                <w:sz w:val="18"/>
                <w:szCs w:val="16"/>
              </w:rPr>
            </w:pPr>
            <w:r>
              <w:rPr>
                <w:rFonts w:cs="CenturyGothic,Bold" w:ascii="Arial;sans-serif" w:hAnsi="Arial;sans-serif"/>
                <w:b/>
                <w:bCs/>
                <w:color w:val="000000"/>
                <w:sz w:val="18"/>
                <w:szCs w:val="16"/>
              </w:rPr>
              <w:t>Centro de despesa</w:t>
            </w:r>
          </w:p>
        </w:tc>
        <w:tc>
          <w:tcPr>
            <w:tcW w:w="652"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jc w:val="center"/>
              <w:rPr>
                <w:rFonts w:ascii="Arial;sans-serif" w:hAnsi="Arial;sans-serif" w:cs="CenturyGothic,Bold"/>
                <w:b/>
                <w:bCs/>
                <w:color w:val="000000"/>
                <w:sz w:val="18"/>
                <w:szCs w:val="16"/>
              </w:rPr>
            </w:pPr>
            <w:r>
              <w:rPr>
                <w:rFonts w:cs="CenturyGothic,Bold" w:ascii="Arial;sans-serif" w:hAnsi="Arial;sans-serif"/>
                <w:b/>
                <w:bCs/>
                <w:color w:val="000000"/>
                <w:sz w:val="18"/>
                <w:szCs w:val="16"/>
              </w:rPr>
              <w:t>Item</w:t>
            </w:r>
          </w:p>
        </w:tc>
        <w:tc>
          <w:tcPr>
            <w:tcW w:w="666"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jc w:val="center"/>
              <w:rPr>
                <w:rFonts w:ascii="Arial;sans-serif" w:hAnsi="Arial;sans-serif" w:cs="CenturyGothic,Bold"/>
                <w:b/>
                <w:bCs/>
                <w:color w:val="000000"/>
                <w:sz w:val="18"/>
                <w:szCs w:val="16"/>
              </w:rPr>
            </w:pPr>
            <w:r>
              <w:rPr>
                <w:rFonts w:cs="CenturyGothic,Bold" w:ascii="Arial;sans-serif" w:hAnsi="Arial;sans-serif"/>
                <w:b/>
                <w:bCs/>
                <w:color w:val="000000"/>
                <w:sz w:val="18"/>
                <w:szCs w:val="16"/>
              </w:rPr>
              <w:t>Qtde</w:t>
            </w:r>
          </w:p>
        </w:tc>
        <w:tc>
          <w:tcPr>
            <w:tcW w:w="1316"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jc w:val="center"/>
              <w:rPr>
                <w:rFonts w:ascii="Arial;sans-serif" w:hAnsi="Arial;sans-serif" w:cs="CenturyGothic,Bold"/>
                <w:b/>
                <w:bCs/>
                <w:color w:val="000000"/>
                <w:sz w:val="18"/>
                <w:szCs w:val="16"/>
              </w:rPr>
            </w:pPr>
            <w:r>
              <w:rPr>
                <w:rFonts w:cs="CenturyGothic,Bold" w:ascii="Arial;sans-serif" w:hAnsi="Arial;sans-serif"/>
                <w:b/>
                <w:bCs/>
                <w:color w:val="000000"/>
                <w:sz w:val="18"/>
                <w:szCs w:val="16"/>
              </w:rPr>
              <w:t>Código Compras GOV</w:t>
            </w:r>
          </w:p>
        </w:tc>
        <w:tc>
          <w:tcPr>
            <w:tcW w:w="3254"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
                <w:bCs/>
                <w:color w:val="000000"/>
                <w:sz w:val="18"/>
                <w:szCs w:val="16"/>
              </w:rPr>
            </w:pPr>
            <w:r>
              <w:rPr>
                <w:rFonts w:cs="CenturyGothic,Bold" w:ascii="Arial;sans-serif" w:hAnsi="Arial;sans-serif"/>
                <w:b/>
                <w:bCs/>
                <w:color w:val="000000"/>
                <w:sz w:val="18"/>
                <w:szCs w:val="16"/>
              </w:rPr>
              <w:t>Descrição</w:t>
            </w:r>
          </w:p>
        </w:tc>
        <w:tc>
          <w:tcPr>
            <w:tcW w:w="1957"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
                <w:bCs/>
                <w:color w:val="000000"/>
                <w:sz w:val="18"/>
                <w:szCs w:val="16"/>
              </w:rPr>
            </w:pPr>
            <w:r>
              <w:rPr>
                <w:rFonts w:cs="CenturyGothic,Bold" w:ascii="Arial;sans-serif" w:hAnsi="Arial;sans-serif"/>
                <w:b/>
                <w:bCs/>
                <w:color w:val="000000"/>
                <w:sz w:val="18"/>
                <w:szCs w:val="16"/>
              </w:rPr>
              <w:t>Item de despesa</w:t>
            </w:r>
          </w:p>
        </w:tc>
        <w:tc>
          <w:tcPr>
            <w:tcW w:w="557"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
                <w:bCs/>
                <w:color w:val="000000"/>
                <w:sz w:val="18"/>
                <w:szCs w:val="16"/>
              </w:rPr>
            </w:pPr>
            <w:r>
              <w:rPr>
                <w:rFonts w:cs="CenturyGothic,Bold" w:ascii="Arial;sans-serif" w:hAnsi="Arial;sans-serif"/>
                <w:b/>
                <w:bCs/>
                <w:color w:val="000000"/>
                <w:sz w:val="18"/>
                <w:szCs w:val="16"/>
              </w:rPr>
              <w:t>TRP</w:t>
            </w:r>
          </w:p>
        </w:tc>
        <w:tc>
          <w:tcPr>
            <w:tcW w:w="258"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
                <w:bCs/>
                <w:color w:val="000000"/>
                <w:sz w:val="18"/>
                <w:szCs w:val="16"/>
              </w:rPr>
            </w:pPr>
            <w:r>
              <w:rPr>
                <w:rFonts w:cs="CenturyGothic,Bold" w:ascii="Arial;sans-serif" w:hAnsi="Arial;sans-serif"/>
                <w:b/>
                <w:bCs/>
                <w:color w:val="000000"/>
                <w:sz w:val="18"/>
                <w:szCs w:val="16"/>
              </w:rPr>
              <w:t>TR</w:t>
            </w:r>
          </w:p>
        </w:tc>
      </w:tr>
      <w:tr>
        <w:trPr/>
        <w:tc>
          <w:tcPr>
            <w:tcW w:w="1109"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Cs/>
                <w:color w:val="000000"/>
                <w:sz w:val="20"/>
                <w:szCs w:val="16"/>
              </w:rPr>
            </w:pPr>
            <w:r>
              <w:rPr>
                <w:rFonts w:cs="CenturyGothic,Bold" w:ascii="Arial;sans-serif" w:hAnsi="Arial;sans-serif"/>
                <w:bCs/>
                <w:color w:val="000000"/>
                <w:sz w:val="20"/>
                <w:szCs w:val="16"/>
              </w:rPr>
              <w:t>{{ numero_demanda }}</w:t>
            </w:r>
          </w:p>
        </w:tc>
        <w:tc>
          <w:tcPr>
            <w:tcW w:w="1299"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Cs/>
                <w:color w:val="000000"/>
                <w:sz w:val="16"/>
                <w:szCs w:val="16"/>
              </w:rPr>
            </w:pPr>
            <w:r>
              <w:rPr>
                <w:rFonts w:cs="CenturyGothic,Bold" w:ascii="Arial;sans-serif" w:hAnsi="Arial;sans-serif"/>
                <w:bCs/>
                <w:color w:val="000000"/>
                <w:sz w:val="16"/>
                <w:szCs w:val="16"/>
              </w:rPr>
              <w:t>{{ centro_despesa }}</w:t>
            </w:r>
          </w:p>
        </w:tc>
        <w:tc>
          <w:tcPr>
            <w:tcW w:w="652"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jc w:val="center"/>
              <w:rPr>
                <w:rFonts w:ascii="Arial;sans-serif" w:hAnsi="Arial;sans-serif" w:cs="CenturyGothic,Bold"/>
                <w:bCs/>
                <w:color w:val="000000"/>
                <w:sz w:val="20"/>
                <w:szCs w:val="16"/>
              </w:rPr>
            </w:pPr>
            <w:r>
              <w:rPr>
                <w:rFonts w:cs="CenturyGothic,Bold" w:ascii="Arial;sans-serif" w:hAnsi="Arial;sans-serif"/>
                <w:bCs/>
                <w:color w:val="000000"/>
                <w:sz w:val="20"/>
                <w:szCs w:val="16"/>
              </w:rPr>
              <w:t>{{ item }}</w:t>
            </w:r>
          </w:p>
        </w:tc>
        <w:tc>
          <w:tcPr>
            <w:tcW w:w="666"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jc w:val="center"/>
              <w:rPr>
                <w:rFonts w:ascii="Arial;sans-serif" w:hAnsi="Arial;sans-serif" w:cs="CenturyGothic,Bold"/>
                <w:bCs/>
                <w:color w:val="000000"/>
                <w:sz w:val="20"/>
                <w:szCs w:val="16"/>
              </w:rPr>
            </w:pPr>
            <w:r>
              <w:rPr>
                <w:rFonts w:cs="CenturyGothic,Bold" w:ascii="Arial;sans-serif" w:hAnsi="Arial;sans-serif"/>
                <w:bCs/>
                <w:color w:val="000000"/>
                <w:sz w:val="20"/>
                <w:szCs w:val="16"/>
              </w:rPr>
              <w:t>{{ qtde }}</w:t>
            </w:r>
          </w:p>
        </w:tc>
        <w:tc>
          <w:tcPr>
            <w:tcW w:w="1316"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jc w:val="center"/>
              <w:rPr>
                <w:rFonts w:ascii="Arial;sans-serif" w:hAnsi="Arial;sans-serif" w:cs="CenturyGothic,Bold"/>
                <w:bCs/>
                <w:color w:val="000000"/>
                <w:sz w:val="20"/>
                <w:szCs w:val="16"/>
              </w:rPr>
            </w:pPr>
            <w:r>
              <w:rPr>
                <w:rFonts w:cs="CenturyGothic,Bold" w:ascii="Arial;sans-serif" w:hAnsi="Arial;sans-serif"/>
                <w:bCs/>
                <w:color w:val="000000"/>
                <w:sz w:val="20"/>
                <w:szCs w:val="16"/>
              </w:rPr>
              <w:t>{{ codigo_comprasgov }}</w:t>
            </w:r>
          </w:p>
        </w:tc>
        <w:tc>
          <w:tcPr>
            <w:tcW w:w="3254" w:type="dxa"/>
            <w:tcBorders>
              <w:top w:val="single" w:sz="8" w:space="0" w:color="000000"/>
              <w:left w:val="single" w:sz="8" w:space="0" w:color="000000"/>
              <w:bottom w:val="single" w:sz="8" w:space="0" w:color="000000"/>
              <w:right w:val="single" w:sz="8" w:space="0" w:color="000000"/>
            </w:tcBorders>
            <w:shd w:color="auto" w:fill="FFFFFF" w:val="clear"/>
            <w:vAlign w:val="center"/>
          </w:tcPr>
          <w:p>
            <w:pPr>
              <w:pStyle w:val="Contedodatabela"/>
              <w:widowControl/>
              <w:spacing w:lineRule="auto" w:line="288" w:before="0" w:after="0"/>
              <w:rPr>
                <w:rFonts w:ascii="Arial;sans-serif" w:hAnsi="Arial;sans-serif" w:cs="CenturyGothic,Bold"/>
                <w:bCs/>
                <w:color w:val="000000"/>
                <w:sz w:val="16"/>
                <w:szCs w:val="16"/>
              </w:rPr>
            </w:pPr>
            <w:r>
              <w:rPr>
                <w:rFonts w:cs="CenturyGothic,Bold" w:ascii="Arial;sans-serif" w:hAnsi="Arial;sans-serif"/>
                <w:bCs/>
                <w:color w:val="000000"/>
                <w:sz w:val="16"/>
                <w:szCs w:val="16"/>
              </w:rPr>
              <w:t xml:space="preserve"> </w:t>
            </w:r>
            <w:r>
              <w:rPr>
                <w:rFonts w:cs="CenturyGothic,Bold" w:ascii="Arial;sans-serif" w:hAnsi="Arial;sans-serif"/>
                <w:bCs/>
                <w:color w:val="000000"/>
                <w:sz w:val="16"/>
                <w:szCs w:val="16"/>
              </w:rPr>
              <w:t>{{ descricao }}</w:t>
            </w:r>
          </w:p>
        </w:tc>
        <w:tc>
          <w:tcPr>
            <w:tcW w:w="1957" w:type="dxa"/>
            <w:tcBorders>
              <w:top w:val="single" w:sz="8" w:space="0" w:color="000000"/>
              <w:left w:val="single" w:sz="8" w:space="0" w:color="000000"/>
              <w:bottom w:val="single" w:sz="8" w:space="0" w:color="000000"/>
              <w:right w:val="single" w:sz="8" w:space="0" w:color="000000"/>
            </w:tcBorders>
            <w:shd w:color="auto" w:fill="FFFFFF" w:val="clear"/>
            <w:vAlign w:val="center"/>
          </w:tcPr>
          <w:p>
            <w:pPr>
              <w:pStyle w:val="Contedodatabela"/>
              <w:widowControl/>
              <w:spacing w:lineRule="auto" w:line="288" w:before="0" w:after="0"/>
              <w:rPr>
                <w:rFonts w:ascii="Arial;sans-serif" w:hAnsi="Arial;sans-serif" w:cs="CenturyGothic,Bold"/>
                <w:bCs/>
                <w:color w:val="000000"/>
                <w:sz w:val="20"/>
                <w:szCs w:val="16"/>
              </w:rPr>
            </w:pPr>
            <w:r>
              <w:rPr>
                <w:rFonts w:cs="CenturyGothic,Bold" w:ascii="Arial;sans-serif" w:hAnsi="Arial;sans-serif"/>
                <w:bCs/>
                <w:color w:val="000000"/>
                <w:sz w:val="20"/>
                <w:szCs w:val="16"/>
              </w:rPr>
              <w:t>{{ item_despesa }}</w:t>
            </w:r>
          </w:p>
        </w:tc>
        <w:tc>
          <w:tcPr>
            <w:tcW w:w="557" w:type="dxa"/>
            <w:tcBorders>
              <w:top w:val="single" w:sz="8" w:space="0" w:color="000000"/>
              <w:left w:val="single" w:sz="8" w:space="0" w:color="000000"/>
              <w:bottom w:val="single" w:sz="8" w:space="0" w:color="000000"/>
              <w:right w:val="single" w:sz="8" w:space="0" w:color="000000"/>
            </w:tcBorders>
            <w:vAlign w:val="center"/>
          </w:tcPr>
          <w:p>
            <w:pPr>
              <w:pStyle w:val="Contedodatabela"/>
              <w:spacing w:before="0" w:after="200"/>
              <w:rPr/>
            </w:pPr>
            <w:r>
              <w:rPr/>
            </w:r>
          </w:p>
        </w:tc>
        <w:tc>
          <w:tcPr>
            <w:tcW w:w="258" w:type="dxa"/>
            <w:tcBorders>
              <w:top w:val="single" w:sz="8" w:space="0" w:color="000000"/>
              <w:left w:val="single" w:sz="8" w:space="0" w:color="000000"/>
              <w:bottom w:val="single" w:sz="8" w:space="0" w:color="000000"/>
              <w:right w:val="single" w:sz="8" w:space="0" w:color="000000"/>
            </w:tcBorders>
            <w:vAlign w:val="center"/>
          </w:tcPr>
          <w:p>
            <w:pPr>
              <w:pStyle w:val="Contedodatabela"/>
              <w:widowControl/>
              <w:spacing w:lineRule="auto" w:line="288" w:before="0" w:after="0"/>
              <w:rPr>
                <w:rFonts w:ascii="Arial;sans-serif" w:hAnsi="Arial;sans-serif" w:cs="CenturyGothic,Bold"/>
                <w:bCs/>
                <w:color w:val="000000"/>
                <w:sz w:val="20"/>
                <w:szCs w:val="16"/>
              </w:rPr>
            </w:pPr>
            <w:r>
              <w:rPr>
                <w:rFonts w:cs="CenturyGothic,Bold" w:ascii="Arial;sans-serif" w:hAnsi="Arial;sans-serif"/>
                <w:bCs/>
                <w:color w:val="000000"/>
                <w:sz w:val="20"/>
                <w:szCs w:val="16"/>
              </w:rPr>
            </w:r>
          </w:p>
        </w:tc>
      </w:tr>
    </w:tbl>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p>
      <w:pPr>
        <w:pStyle w:val="Normal"/>
        <w:spacing w:lineRule="auto" w:line="240" w:before="0" w:after="0"/>
        <w:rPr>
          <w:rFonts w:ascii="CenturyGothic,Bold" w:hAnsi="CenturyGothic,Bold" w:cs="CenturyGothic,Bold"/>
          <w:b/>
          <w:bCs/>
          <w:sz w:val="16"/>
          <w:szCs w:val="16"/>
        </w:rPr>
      </w:pPr>
      <w:r>
        <w:rPr>
          <w:rFonts w:cs="CenturyGothic,Bold" w:ascii="CenturyGothic,Bold" w:hAnsi="CenturyGothic,Bold"/>
          <w:b/>
          <w:bCs/>
          <w:sz w:val="16"/>
          <w:szCs w:val="16"/>
        </w:rPr>
      </w:r>
    </w:p>
    <w:sectPr>
      <w:type w:val="nextPage"/>
      <w:pgSz w:w="11906" w:h="16838"/>
      <w:pgMar w:left="284" w:right="284" w:gutter="0" w:header="0" w:top="567" w:footer="0" w:bottom="851"/>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Kleber" w:date="2024-09-04T11:23:00Z" w:initials="K">
    <w:p>
      <w:pPr>
        <w:overflowPunct w:val="true"/>
        <w:spacing w:lineRule="auto" w:line="240" w:before="0" w:after="0"/>
        <w:rPr/>
      </w:pPr>
      <w:r>
        <w:rPr>
          <w:rFonts w:eastAsia="DejaVu Sans" w:cs="DejaVu Sans" w:ascii="Liberation Serif" w:hAnsi="Liberation Serif"/>
          <w:sz w:val="24"/>
          <w:szCs w:val="24"/>
          <w:lang w:val="en-US" w:eastAsia="en-US" w:bidi="en-US"/>
        </w:rPr>
        <w:t xml:space="preserve">Dentro de cada nível estão elencadas as documentações que foram apresentadas pela empresa. Dessa forma, somente será(ão) dispensada(s) a(s) certidão(ões) apresentada(s) e que esteja(m) válida(s) no momento da sessão pública, quando for o caso. </w:t>
      </w:r>
    </w:p>
  </w:comment>
  <w:comment w:id="2" w:author="Kleber" w:date="2024-08-22T10:22:00Z" w:initials="K">
    <w:p>
      <w:pPr>
        <w:overflowPunct w:val="true"/>
        <w:spacing w:lineRule="auto" w:line="240" w:before="0" w:after="0"/>
        <w:rPr/>
      </w:pPr>
      <w:r>
        <w:rPr>
          <w:rFonts w:eastAsia="DejaVu Sans" w:cs="DejaVu Sans" w:ascii="Liberation Serif" w:hAnsi="Liberation Serif"/>
          <w:sz w:val="24"/>
          <w:szCs w:val="24"/>
          <w:lang w:val="en-US" w:eastAsia="en-US" w:bidi="en-US"/>
        </w:rPr>
        <w:t>Somente do sócio majoritário. A verificação será feita pelo contrato social da empresa que, embora não seja documento obrigatório de habilitação, foi acordado que será inserido para consulta do sócio. Caso haja dois ou mais sócios com a mesma cota, deverá ser incluído o sócio que administra a empresa.</w:t>
      </w:r>
    </w:p>
  </w:comment>
  <w:comment w:id="1" w:author="Kleber" w:date="2025-06-18T11:05:00Z" w:initials="K">
    <w:p>
      <w:pPr>
        <w:overflowPunct w:val="true"/>
        <w:spacing w:lineRule="auto" w:line="240" w:before="0" w:after="0"/>
        <w:rPr/>
      </w:pPr>
      <w:r>
        <w:rPr>
          <w:rFonts w:eastAsia="DejaVu Sans" w:cs="DejaVu Sans" w:ascii="Liberation Serif" w:hAnsi="Liberation Serif"/>
          <w:sz w:val="24"/>
          <w:szCs w:val="24"/>
          <w:lang w:val="en-US" w:eastAsia="en-US" w:bidi="en-US"/>
        </w:rPr>
        <w:t>O sócio poderá ser tanto um CPF quanto um CNPJ.</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swiss"/>
    <w:pitch w:val="variable"/>
  </w:font>
  <w:font w:name="Liberation Sans">
    <w:altName w:val="Arial"/>
    <w:charset w:val="01"/>
    <w:family w:val="swiss"/>
    <w:pitch w:val="variable"/>
  </w:font>
  <w:font w:name="CenturyGothic">
    <w:altName w:val="Bold"/>
    <w:charset w:val="01"/>
    <w:family w:val="roman"/>
    <w:pitch w:val="variable"/>
  </w:font>
  <w:font w:name="CenturyGothic">
    <w:charset w:val="01"/>
    <w:family w:val="roman"/>
    <w:pitch w:val="variable"/>
  </w:font>
  <w:font w:name="Arial">
    <w:altName w:val="sans-serif"/>
    <w:charset w:val="01"/>
    <w:family w:val="roman"/>
    <w:pitch w:val="variable"/>
  </w:font>
  <w:font w:name="MS Gothic">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character" w:styleId="DefaultParagraphFont" w:default="1">
    <w:name w:val="Default Paragraph Font"/>
    <w:uiPriority w:val="1"/>
    <w:semiHidden/>
    <w:unhideWhenUsed/>
    <w:qFormat/>
    <w:rPr/>
  </w:style>
  <w:style w:type="character" w:styleId="TextodebaloChar" w:customStyle="1">
    <w:name w:val="Texto de balão Char"/>
    <w:basedOn w:val="DefaultParagraphFont"/>
    <w:link w:val="BalloonText"/>
    <w:uiPriority w:val="99"/>
    <w:semiHidden/>
    <w:qFormat/>
    <w:rsid w:val="00704c99"/>
    <w:rPr>
      <w:rFonts w:ascii="Tahoma" w:hAnsi="Tahoma" w:cs="Tahoma"/>
      <w:sz w:val="16"/>
      <w:szCs w:val="16"/>
    </w:rPr>
  </w:style>
  <w:style w:type="character" w:styleId="CabealhoChar" w:customStyle="1">
    <w:name w:val="Cabeçalho Char"/>
    <w:basedOn w:val="DefaultParagraphFont"/>
    <w:link w:val="Header"/>
    <w:uiPriority w:val="99"/>
    <w:qFormat/>
    <w:rsid w:val="00b35795"/>
    <w:rPr/>
  </w:style>
  <w:style w:type="character" w:styleId="RodapChar" w:customStyle="1">
    <w:name w:val="Rodapé Char"/>
    <w:basedOn w:val="DefaultParagraphFont"/>
    <w:link w:val="Footer"/>
    <w:uiPriority w:val="99"/>
    <w:qFormat/>
    <w:rsid w:val="00b35795"/>
    <w:rPr/>
  </w:style>
  <w:style w:type="character" w:styleId="CommentReference">
    <w:name w:val="annotation reference"/>
    <w:basedOn w:val="DefaultParagraphFont"/>
    <w:uiPriority w:val="99"/>
    <w:semiHidden/>
    <w:unhideWhenUsed/>
    <w:qFormat/>
    <w:rsid w:val="00057a18"/>
    <w:rPr>
      <w:sz w:val="16"/>
      <w:szCs w:val="16"/>
    </w:rPr>
  </w:style>
  <w:style w:type="character" w:styleId="TextodecomentrioChar" w:customStyle="1">
    <w:name w:val="Texto de comentário Char"/>
    <w:basedOn w:val="DefaultParagraphFont"/>
    <w:link w:val="CommentText"/>
    <w:uiPriority w:val="99"/>
    <w:semiHidden/>
    <w:qFormat/>
    <w:rsid w:val="00057a18"/>
    <w:rPr>
      <w:sz w:val="20"/>
      <w:szCs w:val="20"/>
    </w:rPr>
  </w:style>
  <w:style w:type="character" w:styleId="AssuntodocomentrioChar" w:customStyle="1">
    <w:name w:val="Assunto do comentário Char"/>
    <w:basedOn w:val="TextodecomentrioChar"/>
    <w:link w:val="annotationsubject"/>
    <w:uiPriority w:val="99"/>
    <w:semiHidden/>
    <w:qFormat/>
    <w:rsid w:val="00724c48"/>
    <w:rPr>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alloonText">
    <w:name w:val="Balloon Text"/>
    <w:basedOn w:val="Normal"/>
    <w:link w:val="TextodebaloChar"/>
    <w:uiPriority w:val="99"/>
    <w:semiHidden/>
    <w:unhideWhenUsed/>
    <w:qFormat/>
    <w:rsid w:val="00704c99"/>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CabealhoChar"/>
    <w:uiPriority w:val="99"/>
    <w:unhideWhenUsed/>
    <w:rsid w:val="00b35795"/>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b35795"/>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900e81"/>
    <w:pPr>
      <w:spacing w:before="0" w:after="200"/>
      <w:ind w:left="720"/>
      <w:contextualSpacing/>
    </w:pPr>
    <w:rPr/>
  </w:style>
  <w:style w:type="paragraph" w:styleId="CommentText">
    <w:name w:val="annotation text"/>
    <w:basedOn w:val="Normal"/>
    <w:link w:val="TextodecomentrioChar"/>
    <w:uiPriority w:val="99"/>
    <w:semiHidden/>
    <w:unhideWhenUsed/>
    <w:rsid w:val="00057a18"/>
    <w:pPr>
      <w:spacing w:lineRule="auto" w:line="240"/>
    </w:pPr>
    <w:rPr>
      <w:sz w:val="20"/>
      <w:szCs w:val="20"/>
    </w:rPr>
  </w:style>
  <w:style w:type="paragraph" w:styleId="annotationsubject">
    <w:name w:val="annotation subject"/>
    <w:basedOn w:val="CommentText"/>
    <w:next w:val="CommentText"/>
    <w:link w:val="AssuntodocomentrioChar"/>
    <w:uiPriority w:val="99"/>
    <w:semiHidden/>
    <w:unhideWhenUsed/>
    <w:qFormat/>
    <w:rsid w:val="00724c48"/>
    <w:pPr/>
    <w:rPr>
      <w:b/>
      <w:bCs/>
    </w:rPr>
  </w:style>
  <w:style w:type="paragraph" w:styleId="Contedodatabela">
    <w:name w:val="Conteúdo da tabela"/>
    <w:basedOn w:val="Normal"/>
    <w:qFormat/>
    <w:pPr>
      <w:widowControl w:val="false"/>
      <w:suppressLineNumbers/>
      <w:suppressAutoHyphens w:val="true"/>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091c1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A0F815-8551-4623-A38B-616058C48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Application>LibreOffice/25.2.3.2$Linux_X86_64 LibreOffice_project/520$Build-2</Application>
  <AppVersion>15.0000</AppVersion>
  <Pages>5</Pages>
  <Words>1122</Words>
  <Characters>6139</Characters>
  <CharactersWithSpaces>7159</CharactersWithSpaces>
  <Paragraphs>155</Paragraphs>
  <Company>FFCLRP - USP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2024-05-13T17:00:00Z</dcterms:created>
  <dc:creator>Eduardo</dc:creator>
  <dc:description/>
  <dc:language>en-US</dc:language>
  <cp:lastModifiedBy/>
  <cp:lastPrinted>2017-04-10T11:25:00Z</cp:lastPrinted>
  <dcterms:modified xsi:type="dcterms:W3CDTF">2026-05-06T14:44:03Z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