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PREGÃO ELETRÔNICO Nº ___/______, Processo SEI nº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numero_sei }}</w:t>
      </w:r>
    </w:p>
    <w:p>
      <w:pPr>
        <w:pStyle w:val="Normal"/>
        <w:spacing w:lineRule="auto" w:line="240" w:before="120" w:after="0"/>
        <w:rPr>
          <w:rFonts w:ascii="CenturyGothic,Bold" w:hAnsi="CenturyGothic,Bold" w:cs="CenturyGothic,Bold"/>
          <w:b/>
          <w:bCs/>
          <w:sz w:val="20"/>
          <w:szCs w:val="20"/>
        </w:rPr>
      </w:pP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COMPRA n.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numero_compra}}</w:t>
      </w:r>
      <w:r>
        <w:rPr>
          <w:rFonts w:cs="CenturyGothic,Bold" w:ascii="CenturyGothic,Bold" w:hAnsi="CenturyGothic,Bold"/>
          <w:b/>
          <w:bCs/>
          <w:sz w:val="20"/>
          <w:szCs w:val="20"/>
        </w:rPr>
        <w:t xml:space="preserve"> Finalidade: </w:t>
      </w:r>
      <w:r>
        <w:rPr>
          <w:rFonts w:cs="CenturyGothic,Bold" w:ascii="CenturyGothic,Bold" w:hAnsi="CenturyGothic,Bold"/>
          <w:b/>
          <w:bCs/>
          <w:color w:val="FF0000"/>
          <w:sz w:val="20"/>
          <w:szCs w:val="20"/>
        </w:rPr>
        <w:t>{{ objeto }}</w:t>
      </w:r>
    </w:p>
    <w:tbl>
      <w:tblPr>
        <w:tblStyle w:val="Tabelacomgrade"/>
        <w:tblW w:w="103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55"/>
        <w:gridCol w:w="295"/>
        <w:gridCol w:w="583"/>
        <w:gridCol w:w="7576"/>
        <w:gridCol w:w="1126"/>
      </w:tblGrid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1- Autorização da autoridade competente para o início da fase preparatória (art. 1º., inciso I, item a da Portaria GR 8.321/2024 e art. 18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2- Abertura de processo SEI (Decreto Estadual 67.641/2023)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3- Documento de formalização da demanda (DFD) (art. 12, inciso VII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 – justificativa da necessidade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descrição sucinta do objeto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quantidade a ser contratada (consumo anual)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IV – estimativa preliminar do valor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data pretendida para a conclusão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 – grau de prioridade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vinculação a outro DFD?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VIII – nome da área requisitante ou técnica e identificação do responsável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4- Estudo técnico preliminar (ETP) (art. 18, §§1º., 2º. e 3º.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 – descrição da necessidade da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 – previsão da contratação no PCA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III – requisitos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IV – estimativas das quantidades para contratação (memórias de cálculo)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 – levantamento de mercado (análise das alternativas e justificativa técnica e econômica da escolha)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 – estimativa do valor da contratação (preços unitários, memórias de cálculos, opção pelo sigilo ou não até a conclusão da licitação)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VII – descrição da solução (exigências de manutenção e assistência técnica, se for o caso)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VIII – justificativa para parcelamento ou não do objeto (art, 9º, VII da IN SEGES 58/2022)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IX – demonstrativo dos resultados pretendidos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 – providências prévias à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 – contratações correlatas ou interdependentes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XII – descrição de impactos ambientais e medidas mitigadoras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XIII – posicionamento conclusivo sobre a contratação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(OBRIGATÓRIO)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5- Análise de risco preliminar (ARP) (art. 18, inciso X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6- Termo de referência (TR) (art. 6º., XXIII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</w:t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Definição do objeto (natureza, quantitativo, prazo do contrato e possibilidade de prorrogação)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Fundamentação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Descrição da solução (considerando o ciclo do objeto)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Requisitos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execução do objeto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Modelo de gestão do contrato (fiscalização)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Critérios de medição e pagamento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Forma e critérios de seleção do fornecedor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Estimativa de valor da contratação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60"/>
              <w:ind w:hanging="318" w:left="318"/>
              <w:contextualSpacing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Adequação orçamentária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Utilizou modelo padronizado? (Decreto Estadual 68.185/2023)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7- Pesquisa de preços – Valor estimado da contratação (art. 18, IV, e 23 da Lei 14.133/2021 e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8- Pesquisa de preços – parâmetros para aferição do melhor preço (art. 3º. do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9- Pesquisa de preços – Justificativa de preços (art. 7º. Do Decreto Estadual 67.888/2023)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10- Grade de Preços – Sistema Mercúrio, com todas as cotações obtidas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11- Documento de Compra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12- Reserva(s) Financeira(s) (valor e centro de despesa)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13- Designação do Pregoeiro publicada no DOESP (art. 8º. Da Lei 14.133/2021 e art. 1º., inciso I, item b da Portaria GR 8.321/2024)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14- Edital do Pregão a ser assinado pela Autoridade Competente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15- Edital padrão?</w:t>
            </w:r>
          </w:p>
        </w:tc>
        <w:tc>
          <w:tcPr>
            <w:tcW w:w="583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Não</w:t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Encaminhar o processo à Procuradoria Geral (PG) para parecer jurídico (art. 1º., §3º. da Portaria PG 12/2024)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Parecer da Procuradoria Geral (Art, 53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1050" w:type="dxa"/>
            <w:gridSpan w:val="2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5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75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Relatório de verificação (Portaria PG 12/2024) – utilização de minutas pré-aprovadas pelo órgão jurídico (art. 53, §5º.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16- Encaminhar ao DFEI (DF) para inspeção se valor da compra acima de R$ 650mil (art. 1º.,inciso I, item a da Portaria GR.8.321/2024)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17- despacho da Autoridade Competente autorizando a despesa (Art. 1º., inciso II, item h da Portaria GR 8.321/2024) e determinando a divulgação do edital no PNCP (Art. 53, §3º.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18- Publicação do edital na íntegra no Portal Nacional de Compras Públicas – PNCP (art. 54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19- Publicação do extrato do pregão no DOE e jornal diário de grande circulação (art. 54, §1º. da Lei 14.133/2021) e Divulgação na Internet – no mínimo 8 dias úteis para aquisição de bens (art. 55, inciso I, item “a” da Lei 14.133/2021) e 10 dias úteis para aquisição de serviços e obras e serviços comuns de engenharia (art. 55, inciso II, item “a” da Lei 14.133/2021) entre a divulgação e a data de recebimento das propostas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20- Publicação integral do edital e seus anexos em sítio eletrônico oficial (art. 54, §2º. da Lei 14.133/2024) (Facultativo)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21- </w:t>
            </w:r>
            <w:r>
              <w:rPr>
                <w:rFonts w:eastAsia="Calibri" w:cs="CenturyGothic" w:ascii="CenturyGothic" w:hAnsi="CenturyGothic"/>
                <w:strike/>
                <w:kern w:val="0"/>
                <w:sz w:val="20"/>
                <w:szCs w:val="20"/>
                <w:lang w:val="pt-BR" w:eastAsia="en-US" w:bidi="ar-SA"/>
              </w:rPr>
              <w:t xml:space="preserve">Inclusão do edital no Sistema AUDESP-TCE </w:t>
            </w:r>
            <w:r>
              <w:rPr>
                <w:rFonts w:eastAsia="Calibri" w:cs="CenturyGothic" w:ascii="CenturyGothic" w:hAnsi="CenturyGothic"/>
                <w:b/>
                <w:bCs/>
                <w:kern w:val="0"/>
                <w:sz w:val="20"/>
                <w:szCs w:val="20"/>
                <w:lang w:val="pt-BR" w:eastAsia="en-US" w:bidi="ar-SA"/>
              </w:rPr>
              <w:t>NÃO É MAIS NECESSÁRIO</w:t>
            </w:r>
          </w:p>
        </w:tc>
        <w:tc>
          <w:tcPr>
            <w:tcW w:w="112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22- Impugnação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5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22a- Impugnação encaminhada para o endereço constante no edital (até 3 dias úteis antes da data de abertura – art. 164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5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22b- Parecer do pregoeiro e da equipe de apoio sobre a impugnação (em até 3 dias úteis após o pedido de impugnação, limitado ao dia útil anterior à data de abertura – 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5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22c- Documento compras.gov.br demonstrando o cadastro da impugnação e a respectiva resposta, assim como divulgação em sítio eletrônico oficial (art.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5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22d- Se a impugnação for acolhida, será definida e publicada nova data para realização do certame (retornar ao item 18 para registrar a alteração)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23- pedidos de esclarecimento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565" w:hRule="atLeast"/>
          <w:cantSplit w:val="true"/>
        </w:trPr>
        <w:tc>
          <w:tcPr>
            <w:tcW w:w="755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23a- Solicitação de esclarecimento encaminhada para o endereço constante no edital (até 3 dias úteis antes da data de abertura – art. 164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417" w:hRule="atLeast"/>
          <w:cantSplit w:val="true"/>
        </w:trPr>
        <w:tc>
          <w:tcPr>
            <w:tcW w:w="755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23b- Resposta do pregoeiro e da equipe de apoio (em até 3 dias úteis após o pedido de esclarecimento, limitado ao dia útil anterior à data de abertura – 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>
          <w:trHeight w:val="699" w:hRule="atLeast"/>
          <w:cantSplit w:val="true"/>
        </w:trPr>
        <w:tc>
          <w:tcPr>
            <w:tcW w:w="755" w:type="dxa"/>
            <w:vMerge w:val="continue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23c- Documento compras.gov.br demonstrando o cadastro do esclarecimento e a respectiva resposta, assim como divulgação em sítio eletrônico oficial (art. 164, parágrafo único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24- Julgamento da proposta 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(edital – ver quadro seguinte)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25- Proposta original do fornecedor vencedor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(anexo do edital – ver quadro seguinte)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  <w:highlight w:val="yellow"/>
              </w:rPr>
            </w:pPr>
            <w:r>
              <w:rPr>
                <w:rFonts w:cs="CenturyGothic" w:ascii="CenturyGothic" w:hAnsi="CenturyGothic"/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26- Documentos de habilitação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(TR – ver quadro seguinte, de acordo com o edital)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27- Intenção de interposição de recurso da habilitação (art. 165, inciso I, item “c”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ind w:left="113" w:right="113"/>
              <w:jc w:val="center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SIM</w:t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28a- Recurso do licitante (apresentado até 3 dias úteis após intimação ou a lavratura da ata – art. 165, inciso I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28b- Contrarrazões dos demais licitantes (apresentada até 3 dias úteis após a intimação pessoal ou da divulgação da interposição de recurso – art. 165, §4º.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28c- Pregoeiro tem 3 dias úteis para reconsiderar ou encaminhar à autoridade superior (art. 165, §2º. da Lei 14.133/2021) – se reconsiderar, retornar ao item 24 ou 26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755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b/>
                <w:sz w:val="20"/>
                <w:szCs w:val="20"/>
              </w:rPr>
            </w:pPr>
            <w:r>
              <w:rPr>
                <w:rFonts w:cs="CenturyGothic" w:ascii="CenturyGothic" w:hAnsi="CenturyGothic"/>
                <w:b/>
                <w:sz w:val="20"/>
                <w:szCs w:val="20"/>
              </w:rPr>
            </w:r>
          </w:p>
        </w:tc>
        <w:tc>
          <w:tcPr>
            <w:tcW w:w="8454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28d- Autoridade superior tem 10 dias úteis para proferir decisão (art. 165, §2º. da Lei 14.133/2021) – se a decisão for favorável ao recurso, retornar ao item 24 ou 26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29- Documento compras.gov.br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Ata de realização do pregão eletrônico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 xml:space="preserve">30- Grade Proposta do Fornecedor Vencedor – </w:t>
            </w:r>
            <w:r>
              <w:rPr>
                <w:rFonts w:eastAsia="Calibri" w:cs="CenturyGothic" w:ascii="CenturyGothic" w:hAnsi="CenturyGothic"/>
                <w:b/>
                <w:kern w:val="0"/>
                <w:sz w:val="20"/>
                <w:szCs w:val="20"/>
                <w:lang w:val="pt-BR" w:eastAsia="en-US" w:bidi="ar-SA"/>
              </w:rPr>
              <w:t>Sistema Mercúrio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31- Documento da Compra com itens efetivados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32- Informação de fechamento assinada pelo pregoeiro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33- Informação encaminhando à Seção de Contabilidade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34- Anulação/reforço da(s) reserva(s) e parecer da contabilidade (processo e Mercúrio)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35- Adjudicação e homologação (por escrito) da autoridade competente (art. 71, inciso IV da Lei 14.133/2021)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36- Publicação da homologação no DOE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37- Informação encaminhando processo para a Contabilidade para empenhamento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38- Contabilidade anexa a(s) Nota(s) de Empenho e providencia o(s) contrato(s), se for o caso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39- Publicação do(s) contrato(s) no DOE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  <w:tr>
        <w:trPr/>
        <w:tc>
          <w:tcPr>
            <w:tcW w:w="9209" w:type="dxa"/>
            <w:gridSpan w:val="4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6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eastAsia="Calibri" w:cs="CenturyGothic" w:ascii="CenturyGothic" w:hAnsi="CenturyGothic"/>
                <w:kern w:val="0"/>
                <w:sz w:val="20"/>
                <w:szCs w:val="20"/>
                <w:lang w:val="pt-BR" w:eastAsia="en-US" w:bidi="ar-SA"/>
              </w:rPr>
              <w:t>* Qualquer alteração no edital, inclusive nova data para realização da disputa, deve ser divulgada nos mesmos meios de divulgação do edital.</w:t>
            </w:r>
          </w:p>
        </w:tc>
        <w:tc>
          <w:tcPr>
            <w:tcW w:w="11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" w:hAnsi="CenturyGothic" w:cs="CenturyGothic"/>
                <w:sz w:val="20"/>
                <w:szCs w:val="20"/>
              </w:rPr>
            </w:pPr>
            <w:r>
              <w:rPr>
                <w:rFonts w:cs="CenturyGothic" w:ascii="CenturyGothic" w:hAnsi="CenturyGothic"/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  <w:highlight w:val="yellow"/>
        </w:rPr>
      </w:pPr>
      <w:r>
        <w:rPr>
          <w:rFonts w:cs="CenturyGothic,Bold" w:ascii="CenturyGothic,Bold" w:hAnsi="CenturyGothic,Bold"/>
          <w:b/>
          <w:bCs/>
          <w:sz w:val="16"/>
          <w:szCs w:val="16"/>
          <w:highlight w:val="yellow"/>
        </w:rPr>
      </w:r>
    </w:p>
    <w:tbl>
      <w:tblPr>
        <w:tblStyle w:val="Tabelacomgrade"/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7"/>
        <w:gridCol w:w="6343"/>
        <w:gridCol w:w="993"/>
        <w:gridCol w:w="992"/>
        <w:gridCol w:w="991"/>
        <w:gridCol w:w="992"/>
      </w:tblGrid>
      <w:tr>
        <w:trPr>
          <w:trHeight w:val="708" w:hRule="exact"/>
        </w:trPr>
        <w:tc>
          <w:tcPr>
            <w:tcW w:w="677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Fornecedor (identificação e CNPJ)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1012" w:hRule="exact"/>
        </w:trPr>
        <w:tc>
          <w:tcPr>
            <w:tcW w:w="427" w:type="dxa"/>
            <w:vMerge w:val="restart"/>
            <w:tcBorders/>
            <w:textDirection w:val="btL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Certidões Julgamento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0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SICAF NÍVEL 1 ao 6 (aviso)</w:t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  <w:commentRangeEnd w:id="0"/>
            <w:r>
              <w:commentReference w:id="0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.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kern w:val="0"/>
                <w:sz w:val="20"/>
                <w:szCs w:val="20"/>
                <w:lang w:val="pt-BR" w:eastAsia="en-US" w:bidi="ar-SA"/>
              </w:rPr>
              <w:t>1. Credenciamento; 2. Hab. Jurídica; 3. Reg. Fiscal e Trabalhista Fed.; 4. Reg. Fiscal Estad./Distrital e Municip.; 5. Qualif. Técnica; 6. Qualif. Econômico-Financeira.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CEIS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CNEP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commentRangeStart w:id="1"/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CNCIAI (licitante e sócio) (edital)</w:t>
            </w:r>
            <w:commentRangeEnd w:id="1"/>
            <w:r>
              <w:commentReference w:id="1"/>
            </w: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e-Sanções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CEEP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TCE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Habilitação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Habilitação Jurídica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2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CNPJ/CPF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 Federal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CRF – FGTS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CNDT – Trabalhista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Inscr. Est. e/ou Mun.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Reg. Fiscal Est ou Mun.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Declaração isenção tributos, se for o caso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Neg. Insolvência (TR, se pessoa física)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Cert. Falência (TR)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499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Demonstrações contábeis dos 2 últimos anos (TR) </w:t>
            </w:r>
            <w:r>
              <w:rPr>
                <w:rFonts w:eastAsia="Calibri" w:cs="CenturyGothic,Bold" w:ascii="CenturyGothic,Bold" w:hAnsi="CenturyGothic,Bold"/>
                <w:b/>
                <w:bCs/>
                <w:color w:val="FF0000"/>
                <w:kern w:val="0"/>
                <w:sz w:val="20"/>
                <w:szCs w:val="20"/>
                <w:lang w:val="pt-BR" w:eastAsia="en-US" w:bidi="ar-SA"/>
              </w:rPr>
              <w:t>SICAF NÍVEL 6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Registro ent. Profis. (TR)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Atestado Capacidade Técnica (TR)</w:t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restart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Proposta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Valor unitário ou total de acordo com o edital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719" w:hRule="exact"/>
        </w:trPr>
        <w:tc>
          <w:tcPr>
            <w:tcW w:w="427" w:type="dxa"/>
            <w:vMerge w:val="continue"/>
            <w:tcBorders/>
            <w:textDirection w:val="btL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left="113" w:right="113"/>
              <w:jc w:val="center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 xml:space="preserve">Conta no Banco do Brasil </w:t>
            </w:r>
            <w:r>
              <w:rPr>
                <w:rFonts w:eastAsia="Calibri" w:cs="CenturyGothic,Bold" w:ascii="CenturyGothic,Bold" w:hAnsi="CenturyGothic,Bold"/>
                <w:b/>
                <w:bCs/>
                <w:i/>
                <w:iCs/>
                <w:kern w:val="0"/>
                <w:sz w:val="20"/>
                <w:szCs w:val="20"/>
                <w:lang w:val="pt-BR" w:eastAsia="en-US" w:bidi="ar-SA"/>
              </w:rPr>
              <w:t>(Decreto 66.000 de 09/09/2021 – Válido até 28/09/2027) – Obrigatório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  <w:tr>
        <w:trPr>
          <w:trHeight w:val="397" w:hRule="exact"/>
        </w:trPr>
        <w:tc>
          <w:tcPr>
            <w:tcW w:w="427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</w:rPr>
            </w:pPr>
            <w:r>
              <w:rPr>
                <w:rFonts w:eastAsia="Calibri" w:cs="CenturyGothic,Bold" w:ascii="CenturyGothic,Bold" w:hAnsi="CenturyGothic,Bold"/>
                <w:b/>
                <w:bCs/>
                <w:kern w:val="0"/>
                <w:sz w:val="20"/>
                <w:szCs w:val="20"/>
                <w:lang w:val="pt-BR" w:eastAsia="en-US" w:bidi="ar-SA"/>
              </w:rPr>
              <w:t>Marca (edital)</w:t>
            </w:r>
          </w:p>
        </w:tc>
        <w:tc>
          <w:tcPr>
            <w:tcW w:w="9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  <w:tc>
          <w:tcPr>
            <w:tcW w:w="99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enturyGothic,Bold" w:hAnsi="CenturyGothic,Bold" w:cs="CenturyGothic,Bold"/>
                <w:b/>
                <w:bCs/>
                <w:sz w:val="20"/>
                <w:szCs w:val="20"/>
                <w:highlight w:val="yellow"/>
              </w:rPr>
            </w:pPr>
            <w:r>
              <w:rPr>
                <w:rFonts w:cs="CenturyGothic,Bold" w:ascii="CenturyGothic,Bold" w:hAnsi="CenturyGothic,Bold"/>
                <w:b/>
                <w:bCs/>
                <w:sz w:val="20"/>
                <w:szCs w:val="20"/>
                <w:highlight w:val="yellow"/>
              </w:rPr>
            </w:r>
          </w:p>
        </w:tc>
      </w:tr>
    </w:tbl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sectPr>
          <w:type w:val="nextPage"/>
          <w:pgSz w:w="11906" w:h="16838"/>
          <w:pgMar w:left="1134" w:right="567" w:gutter="0" w:header="0" w:top="567" w:footer="0" w:bottom="851"/>
          <w:pgNumType w:fmt="decimal"/>
          <w:formProt w:val="false"/>
          <w:textDirection w:val="lrTb"/>
          <w:docGrid w:type="default" w:linePitch="360" w:charSpace="4096"/>
        </w:sect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  <w:r>
        <w:br w:type="page"/>
      </w:r>
    </w:p>
    <w:tbl>
      <w:tblPr>
        <w:tblW w:w="11085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865"/>
        <w:gridCol w:w="4150"/>
        <w:gridCol w:w="2070"/>
      </w:tblGrid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pageBreakBefore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32"/>
                <w:szCs w:val="16"/>
              </w:rPr>
              <w:t>{{ numero_sei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32"/>
                <w:szCs w:val="16"/>
              </w:rPr>
              <w:t>{{ numero_compra }}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nome_agente_contratacao }}</w:t>
            </w:r>
          </w:p>
        </w:tc>
      </w:tr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modalidade }}</w:t>
            </w:r>
          </w:p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Cs w:val="16"/>
              </w:rPr>
              <w:t>{{ tipo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4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331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</w:rPr>
              <w:t>{{ objeto }}</w:t>
            </w:r>
          </w:p>
        </w:tc>
        <w:tc>
          <w:tcPr>
            <w:tcW w:w="4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/>
            </w:pPr>
            <w:r>
              <w:rPr/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color w:val="FF0000"/>
              </w:rPr>
            </w:pPr>
            <w:r>
              <w:rPr>
                <w:rFonts w:cs="CenturyGothic,Bold" w:ascii="Arial;sans-serif" w:hAnsi="Arial;sans-serif"/>
                <w:bCs/>
                <w:color w:val="FF0000"/>
                <w:sz w:val="20"/>
                <w:szCs w:val="16"/>
              </w:rPr>
              <w:t>{{ valor_total_previsto }}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tbl>
      <w:tblPr>
        <w:tblW w:w="11063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7556"/>
        <w:gridCol w:w="1441"/>
        <w:gridCol w:w="2066"/>
      </w:tblGrid>
      <w:tr>
        <w:trPr/>
        <w:tc>
          <w:tcPr>
            <w:tcW w:w="7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;sans-serif" w:hAnsi="Arial;sans-serif" w:cs="CenturyGothic,Bold"/>
                <w:bCs/>
                <w:color w:val="000000"/>
                <w:szCs w:val="16"/>
              </w:rPr>
            </w:pPr>
            <w:r>
              <w:rPr>
                <w:rFonts w:cs="CenturyGothic,Bold" w:ascii="Arial;sans-serif" w:hAnsi="Arial;sans-serif"/>
                <w:bCs/>
                <w:color w:val="000000"/>
                <w:szCs w:val="16"/>
              </w:rPr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1887218767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Demanda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95783619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TR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371201882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Minuta</w:t>
            </w:r>
          </w:p>
          <w:p>
            <w:pPr>
              <w:pStyle w:val="Contedodatabela"/>
              <w:widowControl/>
              <w:spacing w:lineRule="auto" w:line="24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1335213173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Objeto</w:t>
            </w:r>
          </w:p>
          <w:p>
            <w:pPr>
              <w:pStyle w:val="Contedodatabela"/>
              <w:widowControl/>
              <w:spacing w:lineRule="auto" w:line="240" w:before="0" w:after="200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6357650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Grade</w:t>
            </w:r>
          </w:p>
        </w:tc>
        <w:tc>
          <w:tcPr>
            <w:tcW w:w="2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152901612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202944598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Disputa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364725386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93805659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Adequação Reserva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-49301946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Conferência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b/>
                <w:bCs/>
                <w:color w:val="000000"/>
                <w:sz w:val="16"/>
                <w:szCs w:val="16"/>
              </w:rPr>
            </w:pPr>
            <w:sdt>
              <w:sdtPr>
                <w:id w:val="1185403504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Liberação compra</w:t>
            </w:r>
          </w:p>
          <w:p>
            <w:pPr>
              <w:pStyle w:val="Contedodatabela"/>
              <w:widowControl/>
              <w:spacing w:lineRule="auto" w:line="240"/>
              <w:ind w:right="113"/>
              <w:rPr>
                <w:color w:val="000000"/>
                <w:sz w:val="16"/>
                <w:szCs w:val="16"/>
              </w:rPr>
            </w:pPr>
            <w:sdt>
              <w:sdtPr>
                <w:id w:val="201255997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Certidões</w:t>
            </w:r>
          </w:p>
          <w:p>
            <w:pPr>
              <w:pStyle w:val="Contedodatabela"/>
              <w:widowControl/>
              <w:spacing w:lineRule="auto" w:line="240" w:before="0" w:after="200"/>
              <w:ind w:right="113"/>
              <w:rPr>
                <w:bCs/>
                <w:color w:val="000000"/>
                <w:sz w:val="16"/>
                <w:szCs w:val="16"/>
              </w:rPr>
            </w:pPr>
            <w:sdt>
              <w:sdtPr>
                <w:id w:val="-1165319269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MS Gothic" w:ascii="MS Gothic" w:hAnsi="MS Gothic"/>
                    <w:bCs/>
                    <w:color w:val="000000"/>
                    <w:sz w:val="16"/>
                    <w:szCs w:val="16"/>
                  </w:rPr>
                  <w:t>☐</w:t>
                </w:r>
              </w:sdtContent>
            </w:sdt>
            <w:r>
              <w:rPr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bCs/>
                <w:color w:val="000000"/>
                <w:sz w:val="16"/>
                <w:szCs w:val="16"/>
              </w:rPr>
              <w:t>Empenho</w:t>
            </w:r>
          </w:p>
        </w:tc>
      </w:tr>
    </w:tbl>
    <w:p>
      <w:pPr>
        <w:pStyle w:val="BodyText"/>
        <w:spacing w:lineRule="auto" w:line="24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  <w:br/>
        <w:br/>
        <w:br/>
        <w:br/>
        <w:br/>
        <w:br/>
        <w:br/>
        <w:br/>
      </w:r>
    </w:p>
    <w:tbl>
      <w:tblPr>
        <w:tblW w:w="11070" w:type="dxa"/>
        <w:jc w:val="left"/>
        <w:tblInd w:w="1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1350"/>
        <w:gridCol w:w="1058"/>
        <w:gridCol w:w="652"/>
        <w:gridCol w:w="666"/>
        <w:gridCol w:w="1316"/>
        <w:gridCol w:w="3254"/>
        <w:gridCol w:w="1972"/>
        <w:gridCol w:w="560"/>
        <w:gridCol w:w="240"/>
      </w:tblGrid>
      <w:tr>
        <w:trPr/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Demanda</w:t>
            </w:r>
          </w:p>
        </w:tc>
        <w:tc>
          <w:tcPr>
            <w:tcW w:w="1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Centro de despesa</w:t>
              <w:br/>
              <w:t>Grupo Orçamentário</w:t>
            </w:r>
          </w:p>
        </w:tc>
        <w:tc>
          <w:tcPr>
            <w:tcW w:w="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Item</w:t>
            </w:r>
          </w:p>
        </w:tc>
        <w:tc>
          <w:tcPr>
            <w:tcW w:w="6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Qtde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Código Compras GOV</w:t>
            </w:r>
          </w:p>
        </w:tc>
        <w:tc>
          <w:tcPr>
            <w:tcW w:w="32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Descrição</w:t>
            </w:r>
          </w:p>
        </w:tc>
        <w:tc>
          <w:tcPr>
            <w:tcW w:w="1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Item de despesa</w:t>
            </w:r>
          </w:p>
        </w:tc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TRP</w:t>
            </w:r>
          </w:p>
        </w:tc>
        <w:tc>
          <w:tcPr>
            <w:tcW w:w="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sz w:val="16"/>
                <w:szCs w:val="16"/>
              </w:rPr>
            </w:pPr>
            <w:r>
              <w:rPr>
                <w:rFonts w:cs="CenturyGothic,Bold"/>
                <w:b/>
                <w:bCs/>
                <w:color w:val="000000"/>
                <w:sz w:val="16"/>
                <w:szCs w:val="16"/>
              </w:rPr>
              <w:t>TR</w:t>
            </w:r>
          </w:p>
        </w:tc>
      </w:tr>
      <w:tr>
        <w:trPr>
          <w:trHeight w:val="387" w:hRule="atLeast"/>
        </w:trPr>
        <w:tc>
          <w:tcPr>
            <w:tcW w:w="11068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spacing w:before="0" w:after="200"/>
              <w:rPr>
                <w:rFonts w:ascii="Arial" w:hAnsi="Arial"/>
              </w:rPr>
            </w:pPr>
            <w:r>
              <w:rPr>
                <w:color w:val="2A6099"/>
                <w:sz w:val="12"/>
                <w:szCs w:val="12"/>
              </w:rPr>
              <w:t>{%tr for item in itens %}</w:t>
            </w:r>
          </w:p>
        </w:tc>
      </w:tr>
      <w:tr>
        <w:trPr/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" w:hAnsi="Arial"/>
                <w:sz w:val="16"/>
                <w:szCs w:val="16"/>
              </w:rPr>
            </w:pPr>
            <w:r>
              <w:rPr>
                <w:rFonts w:cs="CenturyGothic,Bold"/>
                <w:bCs/>
                <w:color w:val="FF0000"/>
                <w:sz w:val="16"/>
                <w:szCs w:val="16"/>
              </w:rPr>
              <w:t xml:space="preserve">{{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numero_demanda }}</w:t>
            </w:r>
          </w:p>
        </w:tc>
        <w:tc>
          <w:tcPr>
            <w:tcW w:w="105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" w:hAnsi="Arial"/>
              </w:rPr>
            </w:pPr>
            <w:r>
              <w:rPr>
                <w:rFonts w:cs="CenturyGothic,Bold"/>
                <w:bCs/>
                <w:color w:val="FF0000"/>
                <w:sz w:val="16"/>
                <w:szCs w:val="16"/>
              </w:rPr>
              <w:t xml:space="preserve">{{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centro_despesa }}</w:t>
              <w:br/>
              <w:t xml:space="preserve">{{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grupo_orcamentario }}</w:t>
            </w:r>
          </w:p>
        </w:tc>
        <w:tc>
          <w:tcPr>
            <w:tcW w:w="6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" w:hAnsi="Arial"/>
              </w:rPr>
            </w:pPr>
            <w:r>
              <w:rPr>
                <w:rFonts w:cs="CenturyGothic,Bold"/>
                <w:bCs/>
                <w:color w:val="FF0000"/>
                <w:sz w:val="20"/>
                <w:szCs w:val="16"/>
              </w:rPr>
              <w:t xml:space="preserve">{{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Cs/>
                <w:color w:val="FF0000"/>
                <w:sz w:val="20"/>
                <w:szCs w:val="16"/>
              </w:rPr>
              <w:t>numero_ordem }}</w:t>
            </w:r>
          </w:p>
        </w:tc>
        <w:tc>
          <w:tcPr>
            <w:tcW w:w="66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cs="CenturyGothic,Bold"/>
                <w:b w:val="false"/>
                <w:bCs w:val="false"/>
                <w:sz w:val="16"/>
                <w:szCs w:val="16"/>
              </w:rPr>
            </w:pPr>
            <w:r>
              <w:rPr>
                <w:rFonts w:cs="CenturyGothic,Bold"/>
                <w:b w:val="false"/>
                <w:bCs w:val="false"/>
                <w:color w:val="FF0000"/>
                <w:sz w:val="20"/>
                <w:szCs w:val="16"/>
              </w:rPr>
              <w:t xml:space="preserve">{{ </w:t>
            </w:r>
            <w:r>
              <w:rPr>
                <w:rFonts w:cs="CenturyGothic,Bold"/>
                <w:b w:val="false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 w:val="false"/>
                <w:bCs w:val="false"/>
                <w:color w:val="FF0000"/>
                <w:sz w:val="20"/>
                <w:szCs w:val="16"/>
              </w:rPr>
              <w:t>quantidade }}</w:t>
            </w:r>
          </w:p>
        </w:tc>
        <w:tc>
          <w:tcPr>
            <w:tcW w:w="131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jc w:val="center"/>
              <w:rPr>
                <w:rFonts w:ascii="Arial" w:hAnsi="Arial"/>
              </w:rPr>
            </w:pPr>
            <w:r>
              <w:rPr>
                <w:rFonts w:cs="CenturyGothic,Bold"/>
                <w:bCs/>
                <w:color w:val="FF0000"/>
                <w:sz w:val="20"/>
                <w:szCs w:val="16"/>
              </w:rPr>
              <w:t xml:space="preserve">{{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Cs/>
                <w:color w:val="FF0000"/>
                <w:sz w:val="20"/>
                <w:szCs w:val="16"/>
              </w:rPr>
              <w:t>codigo_comprasgov }}</w:t>
            </w:r>
          </w:p>
        </w:tc>
        <w:tc>
          <w:tcPr>
            <w:tcW w:w="32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" w:hAnsi="Arial"/>
              </w:rPr>
            </w:pPr>
            <w:r>
              <w:rPr>
                <w:rFonts w:cs="CenturyGothic,Bold"/>
                <w:bCs/>
                <w:color w:val="FF0000"/>
                <w:sz w:val="16"/>
                <w:szCs w:val="16"/>
              </w:rPr>
              <w:t xml:space="preserve">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 xml:space="preserve">{{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descricao }}</w:t>
            </w:r>
          </w:p>
        </w:tc>
        <w:tc>
          <w:tcPr>
            <w:tcW w:w="19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FFFFF" w:val="clear"/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" w:hAnsi="Arial"/>
              </w:rPr>
            </w:pPr>
            <w:r>
              <w:rPr>
                <w:rFonts w:cs="CenturyGothic,Bold"/>
                <w:bCs/>
                <w:color w:val="FF0000"/>
                <w:sz w:val="20"/>
                <w:szCs w:val="16"/>
              </w:rPr>
              <w:t xml:space="preserve">{{ </w:t>
            </w:r>
            <w:r>
              <w:rPr>
                <w:rFonts w:cs="CenturyGothic,Bold"/>
                <w:bCs/>
                <w:color w:val="FF0000"/>
                <w:sz w:val="16"/>
                <w:szCs w:val="16"/>
              </w:rPr>
              <w:t>item.</w:t>
            </w:r>
            <w:r>
              <w:rPr>
                <w:rFonts w:cs="CenturyGothic,Bold"/>
                <w:bCs/>
                <w:color w:val="FF0000"/>
                <w:sz w:val="20"/>
                <w:szCs w:val="16"/>
              </w:rPr>
              <w:t>item_despesa }}</w:t>
            </w:r>
          </w:p>
        </w:tc>
        <w:tc>
          <w:tcPr>
            <w:tcW w:w="5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spacing w:before="0" w:after="200"/>
              <w:rPr>
                <w:rFonts w:ascii="Arial" w:hAnsi="Arial"/>
              </w:rPr>
            </w:pPr>
            <w:r>
              <w:rPr/>
            </w:r>
          </w:p>
        </w:tc>
        <w:tc>
          <w:tcPr>
            <w:tcW w:w="2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Contedodatabela"/>
              <w:widowControl/>
              <w:spacing w:lineRule="auto" w:line="288" w:before="0" w:after="0"/>
              <w:rPr>
                <w:rFonts w:ascii="Arial" w:hAnsi="Arial" w:cs="CenturyGothic,Bold"/>
                <w:bCs/>
                <w:color w:val="000000"/>
                <w:sz w:val="20"/>
                <w:szCs w:val="16"/>
              </w:rPr>
            </w:pPr>
            <w:r>
              <w:rPr>
                <w:rFonts w:cs="CenturyGothic,Bold"/>
                <w:bCs/>
                <w:color w:val="000000"/>
                <w:sz w:val="20"/>
                <w:szCs w:val="16"/>
              </w:rPr>
            </w:r>
          </w:p>
        </w:tc>
      </w:tr>
      <w:tr>
        <w:trPr/>
        <w:tc>
          <w:tcPr>
            <w:tcW w:w="11068" w:type="dxa"/>
            <w:gridSpan w:val="9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spacing w:before="0" w:after="200"/>
              <w:rPr>
                <w:rFonts w:ascii="Arial" w:hAnsi="Arial"/>
              </w:rPr>
            </w:pPr>
            <w:r>
              <w:rPr>
                <w:color w:val="2A6099"/>
                <w:sz w:val="12"/>
                <w:szCs w:val="12"/>
              </w:rPr>
              <w:t>{%tr endfor %}</w:t>
            </w:r>
          </w:p>
        </w:tc>
      </w:tr>
    </w:tbl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CenturyGothic,Bold" w:hAnsi="CenturyGothic,Bold" w:cs="CenturyGothic,Bold"/>
          <w:b/>
          <w:bCs/>
          <w:sz w:val="16"/>
          <w:szCs w:val="16"/>
        </w:rPr>
      </w:pPr>
      <w:r>
        <w:rPr>
          <w:rFonts w:cs="CenturyGothic,Bold" w:ascii="CenturyGothic,Bold" w:hAnsi="CenturyGothic,Bold"/>
          <w:b/>
          <w:bCs/>
          <w:sz w:val="16"/>
          <w:szCs w:val="16"/>
        </w:rPr>
      </w:r>
    </w:p>
    <w:sectPr>
      <w:type w:val="nextPage"/>
      <w:pgSz w:w="11906" w:h="16838"/>
      <w:pgMar w:left="284" w:right="1722" w:gutter="0" w:header="0" w:top="567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Kleber" w:date="2024-08-14T08:02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Dentro de cada nível estão elencadas as documentações que foram apresentadas pela empresa. Dessa forma, somente será(ão) dispensada(s) a(s) certidão(ões) apresentada(s) e que esteja(m) válida(s) no momento da sessão pública, quando for o caso. </w:t>
      </w:r>
    </w:p>
  </w:comment>
  <w:comment w:id="1" w:author="Kleber" w:date="2025-06-18T11:03:00Z" w:initials="K">
    <w:p>
      <w:pPr>
        <w:overflowPunct w:val="true"/>
        <w:spacing w:lineRule="auto" w:line="240" w:before="0" w:after="0"/>
        <w:rPr/>
      </w:pPr>
      <w:r>
        <w:rPr>
          <w:rFonts w:eastAsia="DejaVu Sans" w:cs="DejaVu Sans" w:ascii="Liberation Serif" w:hAnsi="Liberation Serif"/>
          <w:sz w:val="24"/>
          <w:szCs w:val="24"/>
          <w:lang w:val="en-US" w:eastAsia="en-US" w:bidi="en-US"/>
        </w:rPr>
        <w:t xml:space="preserve">O sócio poderá ser tanto um CPF quanto um CNPJ. 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enturyGothic">
    <w:altName w:val="Bold"/>
    <w:charset w:val="01"/>
    <w:family w:val="swiss"/>
    <w:pitch w:val="variable"/>
  </w:font>
  <w:font w:name="CenturyGothic">
    <w:charset w:val="01"/>
    <w:family w:val="swiss"/>
    <w:pitch w:val="variable"/>
  </w:font>
  <w:font w:name="Arial">
    <w:altName w:val="sans-serif"/>
    <w:charset w:val="01"/>
    <w:family w:val="swiss"/>
    <w:pitch w:val="variable"/>
  </w:font>
  <w:font w:name="MS Gothic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704c99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b35795"/>
    <w:rPr/>
  </w:style>
  <w:style w:type="character" w:styleId="RodapChar" w:customStyle="1">
    <w:name w:val="Rodapé Char"/>
    <w:basedOn w:val="DefaultParagraphFont"/>
    <w:link w:val="Footer"/>
    <w:uiPriority w:val="99"/>
    <w:qFormat/>
    <w:rsid w:val="00b35795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f3821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CommentText"/>
    <w:uiPriority w:val="99"/>
    <w:semiHidden/>
    <w:qFormat/>
    <w:rsid w:val="00df3821"/>
    <w:rPr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e16af"/>
    <w:rPr>
      <w:b/>
      <w:bCs/>
      <w:sz w:val="20"/>
      <w:szCs w:val="20"/>
    </w:rPr>
  </w:style>
  <w:style w:type="character" w:styleId="CorpodetextoChar" w:customStyle="1">
    <w:name w:val="Corpo de texto Char"/>
    <w:basedOn w:val="DefaultParagraphFont"/>
    <w:qFormat/>
    <w:rsid w:val="0072345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723458"/>
    <w:pPr>
      <w:suppressAutoHyphens w:val="true"/>
      <w:spacing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704c9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b3579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900e81"/>
    <w:pPr>
      <w:spacing w:before="0" w:after="200"/>
      <w:ind w:left="720"/>
      <w:contextualSpacing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df382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de16af"/>
    <w:pPr/>
    <w:rPr>
      <w:b/>
      <w:bCs/>
    </w:rPr>
  </w:style>
  <w:style w:type="paragraph" w:styleId="Contedodatabela" w:customStyle="1">
    <w:name w:val="Conteúdo da tabela"/>
    <w:basedOn w:val="Normal"/>
    <w:qFormat/>
    <w:rsid w:val="00723458"/>
    <w:pPr>
      <w:widowControl w:val="false"/>
      <w:suppressLineNumbers/>
      <w:suppressAutoHyphens w:val="true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091c1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C9FF35A-3FEC-4712-9FB4-5DA16130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Application>LibreOffice/25.2.3.2$Linux_X86_64 LibreOffice_project/520$Build-2</Application>
  <AppVersion>15.0000</AppVersion>
  <Pages>6</Pages>
  <Words>1414</Words>
  <Characters>7789</Characters>
  <CharactersWithSpaces>9101</CharactersWithSpaces>
  <Paragraphs>161</Paragraphs>
  <Company>FFCLRP - USP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2024-08-16T12:43:00Z</dcterms:created>
  <dc:creator>Eduardo</dc:creator>
  <dc:description/>
  <dc:language>en-US</dc:language>
  <cp:lastModifiedBy/>
  <cp:lastPrinted>2017-04-10T11:25:00Z</cp:lastPrinted>
  <dcterms:modified xsi:type="dcterms:W3CDTF">2026-05-06T16:53:06Z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