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rFonts w:ascii="CenturyGothic,Bold" w:hAnsi="CenturyGothic,Bold" w:cs="CenturyGothic,Bold"/>
          <w:b/>
          <w:bCs/>
          <w:sz w:val="20"/>
          <w:szCs w:val="20"/>
        </w:rPr>
      </w:pPr>
      <w:r>
        <w:rPr>
          <w:rFonts w:cs="CenturyGothic,Bold" w:ascii="CenturyGothic,Bold" w:hAnsi="CenturyGothic,Bold"/>
          <w:b/>
          <w:bCs/>
          <w:sz w:val="20"/>
          <w:szCs w:val="20"/>
        </w:rPr>
        <w:t xml:space="preserve">PREGÃO ELETRÔNICO Nº ___/______, Processo SEI nº </w:t>
      </w:r>
      <w:r>
        <w:rPr>
          <w:rFonts w:cs="CenturyGothic,Bold" w:ascii="CenturyGothic,Bold" w:hAnsi="CenturyGothic,Bold"/>
          <w:b/>
          <w:bCs/>
          <w:color w:val="FF0000"/>
          <w:sz w:val="20"/>
          <w:szCs w:val="20"/>
        </w:rPr>
        <w:t>{{ numero_sei }}</w:t>
      </w:r>
    </w:p>
    <w:p>
      <w:pPr>
        <w:pStyle w:val="Normal"/>
        <w:spacing w:lineRule="auto" w:line="240" w:before="120" w:after="0"/>
        <w:rPr>
          <w:rFonts w:ascii="CenturyGothic,Bold" w:hAnsi="CenturyGothic,Bold" w:cs="CenturyGothic,Bold"/>
          <w:b/>
          <w:bCs/>
          <w:sz w:val="20"/>
          <w:szCs w:val="20"/>
        </w:rPr>
      </w:pPr>
      <w:r>
        <w:rPr>
          <w:rFonts w:cs="CenturyGothic,Bold" w:ascii="CenturyGothic,Bold" w:hAnsi="CenturyGothic,Bold"/>
          <w:b/>
          <w:bCs/>
          <w:sz w:val="20"/>
          <w:szCs w:val="20"/>
        </w:rPr>
        <w:t xml:space="preserve">COMPRA n. </w:t>
      </w:r>
      <w:r>
        <w:rPr>
          <w:rFonts w:cs="CenturyGothic,Bold" w:ascii="CenturyGothic,Bold" w:hAnsi="CenturyGothic,Bold"/>
          <w:b/>
          <w:bCs/>
          <w:color w:val="FF0000"/>
          <w:sz w:val="20"/>
          <w:szCs w:val="20"/>
        </w:rPr>
        <w:t>{{ numero_compra}}</w:t>
      </w:r>
      <w:r>
        <w:rPr>
          <w:rFonts w:cs="CenturyGothic,Bold" w:ascii="CenturyGothic,Bold" w:hAnsi="CenturyGothic,Bold"/>
          <w:b/>
          <w:bCs/>
          <w:sz w:val="20"/>
          <w:szCs w:val="20"/>
        </w:rPr>
        <w:t xml:space="preserve"> Finalidade: </w:t>
      </w:r>
      <w:r>
        <w:rPr>
          <w:rFonts w:cs="CenturyGothic,Bold" w:ascii="CenturyGothic,Bold" w:hAnsi="CenturyGothic,Bold"/>
          <w:b/>
          <w:bCs/>
          <w:color w:val="FF0000"/>
          <w:sz w:val="20"/>
          <w:szCs w:val="20"/>
        </w:rPr>
        <w:t>{{ objeto }}</w:t>
      </w:r>
    </w:p>
    <w:tbl>
      <w:tblPr>
        <w:tblStyle w:val="Tabelacomgrade"/>
        <w:tblW w:w="1033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54"/>
        <w:gridCol w:w="296"/>
        <w:gridCol w:w="583"/>
        <w:gridCol w:w="7577"/>
        <w:gridCol w:w="1125"/>
      </w:tblGrid>
      <w:tr>
        <w:trPr/>
        <w:tc>
          <w:tcPr>
            <w:tcW w:w="9210" w:type="dxa"/>
            <w:gridSpan w:val="4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1- Autorização da autoridade competente para o início da fase preparatória (art. 1º., inciso I, item a da Portaria GR 8.321/2024 e art. 18 da Lei 14.133/2021)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9210" w:type="dxa"/>
            <w:gridSpan w:val="4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2- Abertura de processo SEI (Decreto Estadual 67.641/2023)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9210" w:type="dxa"/>
            <w:gridSpan w:val="4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3- Documento de formalização da demanda (DFD) (art. 12, inciso VII da Lei 14.133/2021)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754" w:type="dxa"/>
            <w:vMerge w:val="restart"/>
            <w:tcBorders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ind w:left="113" w:right="113"/>
              <w:jc w:val="center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Requisitos</w:t>
            </w:r>
          </w:p>
        </w:tc>
        <w:tc>
          <w:tcPr>
            <w:tcW w:w="8456" w:type="dxa"/>
            <w:gridSpan w:val="3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I – justificativa da necessidade da contratação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754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  <w:tc>
          <w:tcPr>
            <w:tcW w:w="8456" w:type="dxa"/>
            <w:gridSpan w:val="3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II – descrição sucinta do objeto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754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  <w:tc>
          <w:tcPr>
            <w:tcW w:w="8456" w:type="dxa"/>
            <w:gridSpan w:val="3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III – quantidade a ser contratada (consumo anual)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754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  <w:tc>
          <w:tcPr>
            <w:tcW w:w="8456" w:type="dxa"/>
            <w:gridSpan w:val="3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IV – estimativa preliminar do valor da contratação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754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  <w:tc>
          <w:tcPr>
            <w:tcW w:w="8456" w:type="dxa"/>
            <w:gridSpan w:val="3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V – data pretendida para a conclusão da contratação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754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  <w:tc>
          <w:tcPr>
            <w:tcW w:w="8456" w:type="dxa"/>
            <w:gridSpan w:val="3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VI – grau de prioridade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754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  <w:tc>
          <w:tcPr>
            <w:tcW w:w="8456" w:type="dxa"/>
            <w:gridSpan w:val="3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VII – vinculação a outro DFD?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754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  <w:tc>
          <w:tcPr>
            <w:tcW w:w="8456" w:type="dxa"/>
            <w:gridSpan w:val="3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VIII – nome da área requisitante ou técnica e identificação do responsável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9210" w:type="dxa"/>
            <w:gridSpan w:val="4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4- Estudo técnico preliminar (ETP) (art. 18, §§1º., 2º. e 3º. da Lei 14.133/2021)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754" w:type="dxa"/>
            <w:vMerge w:val="restart"/>
            <w:tcBorders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ind w:left="113" w:right="113"/>
              <w:jc w:val="center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Requisitos</w:t>
            </w:r>
          </w:p>
        </w:tc>
        <w:tc>
          <w:tcPr>
            <w:tcW w:w="8456" w:type="dxa"/>
            <w:gridSpan w:val="3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 xml:space="preserve">I – descrição da necessidade da contratação </w:t>
            </w:r>
            <w:r>
              <w:rPr>
                <w:rFonts w:eastAsia="Calibri" w:cs="CenturyGothic" w:ascii="CenturyGothic" w:hAnsi="CenturyGothic"/>
                <w:b/>
                <w:kern w:val="0"/>
                <w:sz w:val="20"/>
                <w:szCs w:val="20"/>
                <w:lang w:val="pt-BR" w:eastAsia="en-US" w:bidi="ar-SA"/>
              </w:rPr>
              <w:t>(OBRIGATÓRIO)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754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  <w:tc>
          <w:tcPr>
            <w:tcW w:w="8456" w:type="dxa"/>
            <w:gridSpan w:val="3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II – previsão da contratação no PCA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754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  <w:tc>
          <w:tcPr>
            <w:tcW w:w="8456" w:type="dxa"/>
            <w:gridSpan w:val="3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III – requisitos da contratação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754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  <w:tc>
          <w:tcPr>
            <w:tcW w:w="8456" w:type="dxa"/>
            <w:gridSpan w:val="3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 xml:space="preserve">IV – estimativas das quantidades para contratação (memórias de cálculo) </w:t>
            </w:r>
            <w:r>
              <w:rPr>
                <w:rFonts w:eastAsia="Calibri" w:cs="CenturyGothic" w:ascii="CenturyGothic" w:hAnsi="CenturyGothic"/>
                <w:b/>
                <w:kern w:val="0"/>
                <w:sz w:val="20"/>
                <w:szCs w:val="20"/>
                <w:lang w:val="pt-BR" w:eastAsia="en-US" w:bidi="ar-SA"/>
              </w:rPr>
              <w:t>(OBRIGATÓRIO)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754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  <w:tc>
          <w:tcPr>
            <w:tcW w:w="8456" w:type="dxa"/>
            <w:gridSpan w:val="3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V – levantamento de mercado (análise das alternativas e justificativa técnica e econômica da escolha)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754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  <w:tc>
          <w:tcPr>
            <w:tcW w:w="8456" w:type="dxa"/>
            <w:gridSpan w:val="3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 xml:space="preserve">VI – estimativa do valor da contratação (preços unitários, memórias de cálculos, opção pelo sigilo ou não até a conclusão da licitação) </w:t>
            </w:r>
            <w:r>
              <w:rPr>
                <w:rFonts w:eastAsia="Calibri" w:cs="CenturyGothic" w:ascii="CenturyGothic" w:hAnsi="CenturyGothic"/>
                <w:b/>
                <w:kern w:val="0"/>
                <w:sz w:val="20"/>
                <w:szCs w:val="20"/>
                <w:lang w:val="pt-BR" w:eastAsia="en-US" w:bidi="ar-SA"/>
              </w:rPr>
              <w:t>(OBRIGATÓRIO)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754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  <w:tc>
          <w:tcPr>
            <w:tcW w:w="8456" w:type="dxa"/>
            <w:gridSpan w:val="3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VII – descrição da solução (exigências de manutenção e assistência técnica, se for o caso)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754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  <w:tc>
          <w:tcPr>
            <w:tcW w:w="8456" w:type="dxa"/>
            <w:gridSpan w:val="3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 xml:space="preserve">VIII – justificativa para parcelamento ou não do objeto (art, 9º, VII da IN SEGES 58/2022) </w:t>
            </w:r>
            <w:r>
              <w:rPr>
                <w:rFonts w:eastAsia="Calibri" w:cs="CenturyGothic" w:ascii="CenturyGothic" w:hAnsi="CenturyGothic"/>
                <w:b/>
                <w:kern w:val="0"/>
                <w:sz w:val="20"/>
                <w:szCs w:val="20"/>
                <w:lang w:val="pt-BR" w:eastAsia="en-US" w:bidi="ar-SA"/>
              </w:rPr>
              <w:t>(OBRIGATÓRIO)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754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  <w:tc>
          <w:tcPr>
            <w:tcW w:w="8456" w:type="dxa"/>
            <w:gridSpan w:val="3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IX – demonstrativo dos resultados pretendidos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754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  <w:tc>
          <w:tcPr>
            <w:tcW w:w="8456" w:type="dxa"/>
            <w:gridSpan w:val="3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X – providências prévias à contratação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754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  <w:tc>
          <w:tcPr>
            <w:tcW w:w="8456" w:type="dxa"/>
            <w:gridSpan w:val="3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XI – contratações correlatas ou interdependentes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754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  <w:tc>
          <w:tcPr>
            <w:tcW w:w="8456" w:type="dxa"/>
            <w:gridSpan w:val="3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XII – descrição de impactos ambientais e medidas mitigadoras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754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  <w:tc>
          <w:tcPr>
            <w:tcW w:w="8456" w:type="dxa"/>
            <w:gridSpan w:val="3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 xml:space="preserve">XIII – posicionamento conclusivo sobre a contratação </w:t>
            </w:r>
            <w:r>
              <w:rPr>
                <w:rFonts w:eastAsia="Calibri" w:cs="CenturyGothic" w:ascii="CenturyGothic" w:hAnsi="CenturyGothic"/>
                <w:b/>
                <w:kern w:val="0"/>
                <w:sz w:val="20"/>
                <w:szCs w:val="20"/>
                <w:lang w:val="pt-BR" w:eastAsia="en-US" w:bidi="ar-SA"/>
              </w:rPr>
              <w:t>(OBRIGATÓRIO)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9210" w:type="dxa"/>
            <w:gridSpan w:val="4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5- Análise de risco preliminar (ARP) (art. 18, inciso X da Lei 14.133/2021)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9210" w:type="dxa"/>
            <w:gridSpan w:val="4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6- Termo de referência (TR) (art. 6º., XXIII da Lei 14.133/2021)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754" w:type="dxa"/>
            <w:vMerge w:val="restart"/>
            <w:tcBorders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ind w:left="113" w:right="113"/>
              <w:jc w:val="center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Requisitos</w:t>
            </w:r>
          </w:p>
        </w:tc>
        <w:tc>
          <w:tcPr>
            <w:tcW w:w="8456" w:type="dxa"/>
            <w:gridSpan w:val="3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60"/>
              <w:ind w:hanging="318" w:left="318"/>
              <w:contextualSpacing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Definição do objeto (natureza, quantitativo, prazo do contrato e possibilidade de prorrogação)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754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  <w:tc>
          <w:tcPr>
            <w:tcW w:w="8456" w:type="dxa"/>
            <w:gridSpan w:val="3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60"/>
              <w:ind w:hanging="318" w:left="318"/>
              <w:contextualSpacing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Fundamentação da contratação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754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  <w:tc>
          <w:tcPr>
            <w:tcW w:w="8456" w:type="dxa"/>
            <w:gridSpan w:val="3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60"/>
              <w:ind w:hanging="318" w:left="318"/>
              <w:contextualSpacing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Descrição da solução (considerando o ciclo do objeto)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754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  <w:tc>
          <w:tcPr>
            <w:tcW w:w="8456" w:type="dxa"/>
            <w:gridSpan w:val="3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60"/>
              <w:ind w:hanging="318" w:left="318"/>
              <w:contextualSpacing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Requisitos da contratação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754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  <w:tc>
          <w:tcPr>
            <w:tcW w:w="8456" w:type="dxa"/>
            <w:gridSpan w:val="3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60"/>
              <w:ind w:hanging="318" w:left="318"/>
              <w:contextualSpacing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Modelo de execução do objeto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754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  <w:tc>
          <w:tcPr>
            <w:tcW w:w="8456" w:type="dxa"/>
            <w:gridSpan w:val="3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60"/>
              <w:ind w:hanging="318" w:left="318"/>
              <w:contextualSpacing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Modelo de gestão do contrato (fiscalização)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754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  <w:tc>
          <w:tcPr>
            <w:tcW w:w="8456" w:type="dxa"/>
            <w:gridSpan w:val="3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60"/>
              <w:ind w:hanging="318" w:left="318"/>
              <w:contextualSpacing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Critérios de medição e pagamento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754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  <w:tc>
          <w:tcPr>
            <w:tcW w:w="8456" w:type="dxa"/>
            <w:gridSpan w:val="3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60"/>
              <w:ind w:hanging="318" w:left="318"/>
              <w:contextualSpacing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Forma e critérios de seleção do fornecedor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754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  <w:tc>
          <w:tcPr>
            <w:tcW w:w="8456" w:type="dxa"/>
            <w:gridSpan w:val="3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60"/>
              <w:ind w:hanging="318" w:left="318"/>
              <w:contextualSpacing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Estimativa de valor da contratação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754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  <w:tc>
          <w:tcPr>
            <w:tcW w:w="8456" w:type="dxa"/>
            <w:gridSpan w:val="3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60"/>
              <w:ind w:hanging="318" w:left="318"/>
              <w:contextualSpacing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Adequação orçamentária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754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  <w:tc>
          <w:tcPr>
            <w:tcW w:w="8456" w:type="dxa"/>
            <w:gridSpan w:val="3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Utilizou modelo padronizado? (Decreto Estadual 68.185/2023)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9210" w:type="dxa"/>
            <w:gridSpan w:val="4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7- Pesquisa de preços – Valor estimado da contratação (art. 18, IV, e 23 da Lei 14.133/2021 e Decreto Estadual 67.888/2023)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9210" w:type="dxa"/>
            <w:gridSpan w:val="4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8- Pesquisa de preços – parâmetros para aferição do melhor preço (art. 3º. do Decreto Estadual 67.888/2023)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9210" w:type="dxa"/>
            <w:gridSpan w:val="4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9- Pesquisa de preços – Justificativa de preços (art. 7º. Do Decreto Estadual 67.888/2023)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9210" w:type="dxa"/>
            <w:gridSpan w:val="4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10- Grade de Preços – Sistema Mercúrio, com todas as cotações obtidas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9210" w:type="dxa"/>
            <w:gridSpan w:val="4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11- Documento de Compra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9210" w:type="dxa"/>
            <w:gridSpan w:val="4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12- Reserva(s) Financeira(s) (valor e centro de despesa)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9210" w:type="dxa"/>
            <w:gridSpan w:val="4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13- Designação do Pregoeiro publicada no DOESP (art. 8º. Da Lei 14.133/2021 e art. 1º., inciso I, item b da Portaria GR 8.321/2024)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9210" w:type="dxa"/>
            <w:gridSpan w:val="4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14- Edital do Pregão a ser assinado pela Autoridade Competente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1050" w:type="dxa"/>
            <w:gridSpan w:val="2"/>
            <w:vMerge w:val="restart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15- Edital padrão?</w:t>
            </w:r>
          </w:p>
        </w:tc>
        <w:tc>
          <w:tcPr>
            <w:tcW w:w="583" w:type="dxa"/>
            <w:vMerge w:val="restart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Não</w:t>
            </w:r>
          </w:p>
        </w:tc>
        <w:tc>
          <w:tcPr>
            <w:tcW w:w="75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Encaminhar o processo à Procuradoria Geral (PG) para parecer jurídico (art. 1º., §3º. da Portaria PG 12/2024)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1050" w:type="dxa"/>
            <w:gridSpan w:val="2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  <w:tc>
          <w:tcPr>
            <w:tcW w:w="583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  <w:tc>
          <w:tcPr>
            <w:tcW w:w="75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Parecer da Procuradoria Geral (Art, 53 da Lei 14.133/2021)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1050" w:type="dxa"/>
            <w:gridSpan w:val="2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  <w:tc>
          <w:tcPr>
            <w:tcW w:w="5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SIm</w:t>
            </w:r>
          </w:p>
        </w:tc>
        <w:tc>
          <w:tcPr>
            <w:tcW w:w="75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Relatório de verificação (Portaria PG 12/2024) – utilização de minutas pré-aprovadas pelo órgão jurídico (art. 53, §5º. da lei 14.133/2021)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9210" w:type="dxa"/>
            <w:gridSpan w:val="4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16- Encaminhar ao DFEI (DF) para inspeção se valor da compra acima de R$ 650mil (art. 1º.,inciso I, item a da Portaria GR.8.321/2024)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9210" w:type="dxa"/>
            <w:gridSpan w:val="4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17- despacho da Autoridade Competente autorizando a despesa (Art. 1º., inciso II, item h da Portaria GR 8.321/2024) e determinando a divulgação do edital no PNCP (Art. 53, §3º. da lei 14.133/2021)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9210" w:type="dxa"/>
            <w:gridSpan w:val="4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18- Publicação do edital na íntegra no Portal Nacional de Compras Públicas – PNCP (art. 54 da Lei 14.133/2021)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9210" w:type="dxa"/>
            <w:gridSpan w:val="4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19- Publicação do extrato do pregão no DOE e jornal diário de grande circulação (art. 54, §1º. da Lei 14.133/2021) e Divulgação na Internet – no mínimo 8 dias úteis para aquisição de bens (art. 55, inciso I, item “a” da Lei 14.133/2021) e 10 dias úteis para aquisição de serviços e obras e serviços comuns de engenharia (art. 55, inciso II, item “a” da Lei 14.133/2021) entre a divulgação e a data de recebimento das propostas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9210" w:type="dxa"/>
            <w:gridSpan w:val="4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  <w:highlight w:val="yellow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20- Publicação integral do edital e seus anexos em sítio eletrônico oficial (art. 54, §2º. da Lei 14.133/2024) (Facultativo)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  <w:highlight w:val="yellow"/>
              </w:rPr>
            </w:pPr>
            <w:r>
              <w:rPr>
                <w:rFonts w:cs="CenturyGothic" w:ascii="CenturyGothic" w:hAnsi="CenturyGothic"/>
                <w:sz w:val="20"/>
                <w:szCs w:val="20"/>
                <w:highlight w:val="yellow"/>
              </w:rPr>
            </w:r>
          </w:p>
        </w:tc>
      </w:tr>
      <w:tr>
        <w:trPr/>
        <w:tc>
          <w:tcPr>
            <w:tcW w:w="9210" w:type="dxa"/>
            <w:gridSpan w:val="4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  <w:highlight w:val="yellow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 xml:space="preserve">21- </w:t>
            </w:r>
            <w:r>
              <w:rPr>
                <w:rFonts w:eastAsia="Calibri" w:cs="CenturyGothic" w:ascii="CenturyGothic" w:hAnsi="CenturyGothic"/>
                <w:strike/>
                <w:kern w:val="0"/>
                <w:sz w:val="20"/>
                <w:szCs w:val="20"/>
                <w:lang w:val="pt-BR" w:eastAsia="en-US" w:bidi="ar-SA"/>
              </w:rPr>
              <w:t xml:space="preserve">Inclusão do edital no Sistema AUDESP-TCE </w:t>
            </w:r>
            <w:r>
              <w:rPr>
                <w:rFonts w:eastAsia="Calibri" w:cs="CenturyGothic" w:ascii="CenturyGothic" w:hAnsi="CenturyGothic"/>
                <w:b/>
                <w:bCs/>
                <w:kern w:val="0"/>
                <w:sz w:val="20"/>
                <w:szCs w:val="20"/>
                <w:lang w:val="pt-BR" w:eastAsia="en-US" w:bidi="ar-SA"/>
              </w:rPr>
              <w:t>NÃO É MAIS NECESSÁRIO</w:t>
            </w:r>
          </w:p>
        </w:tc>
        <w:tc>
          <w:tcPr>
            <w:tcW w:w="1125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  <w:highlight w:val="yellow"/>
              </w:rPr>
            </w:pPr>
            <w:r>
              <w:rPr>
                <w:rFonts w:cs="CenturyGothic" w:ascii="CenturyGothic" w:hAnsi="CenturyGothic"/>
                <w:sz w:val="20"/>
                <w:szCs w:val="20"/>
                <w:highlight w:val="yellow"/>
              </w:rPr>
            </w:r>
          </w:p>
        </w:tc>
      </w:tr>
      <w:tr>
        <w:trPr/>
        <w:tc>
          <w:tcPr>
            <w:tcW w:w="9210" w:type="dxa"/>
            <w:gridSpan w:val="4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22- Impugnação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>
          <w:trHeight w:val="565" w:hRule="atLeast"/>
          <w:cantSplit w:val="true"/>
        </w:trPr>
        <w:tc>
          <w:tcPr>
            <w:tcW w:w="754" w:type="dxa"/>
            <w:vMerge w:val="restart"/>
            <w:tcBorders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ind w:left="113" w:right="113"/>
              <w:jc w:val="center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SIM</w:t>
            </w:r>
          </w:p>
        </w:tc>
        <w:tc>
          <w:tcPr>
            <w:tcW w:w="8456" w:type="dxa"/>
            <w:gridSpan w:val="3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22a- Impugnação encaminhada para o endereço constante no edital (até 3 dias úteis antes da data de abertura – art. 164 da Lei 14.133/2021)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>
          <w:trHeight w:val="417" w:hRule="atLeast"/>
          <w:cantSplit w:val="true"/>
        </w:trPr>
        <w:tc>
          <w:tcPr>
            <w:tcW w:w="754" w:type="dxa"/>
            <w:vMerge w:val="continue"/>
            <w:tcBorders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ind w:left="113" w:right="113"/>
              <w:jc w:val="center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  <w:tc>
          <w:tcPr>
            <w:tcW w:w="8456" w:type="dxa"/>
            <w:gridSpan w:val="3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22b- Parecer do pregoeiro e da equipe de apoio sobre a impugnação (em até 3 dias úteis após o pedido de impugnação, limitado ao dia útil anterior à data de abertura – art. 164, parágrafo único da Lei 14.133/2021)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>
          <w:trHeight w:val="699" w:hRule="atLeast"/>
          <w:cantSplit w:val="true"/>
        </w:trPr>
        <w:tc>
          <w:tcPr>
            <w:tcW w:w="754" w:type="dxa"/>
            <w:vMerge w:val="continue"/>
            <w:tcBorders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ind w:left="113" w:right="113"/>
              <w:jc w:val="center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  <w:tc>
          <w:tcPr>
            <w:tcW w:w="8456" w:type="dxa"/>
            <w:gridSpan w:val="3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22c- Documento compras.gov.br demonstrando o cadastro da impugnação e a respectiva resposta, assim como divulgação em sítio eletrônico oficial (art. 164, parágrafo único da Lei 14.133/2021)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>
          <w:trHeight w:val="699" w:hRule="atLeast"/>
          <w:cantSplit w:val="true"/>
        </w:trPr>
        <w:tc>
          <w:tcPr>
            <w:tcW w:w="754" w:type="dxa"/>
            <w:vMerge w:val="continue"/>
            <w:tcBorders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ind w:left="113" w:right="113"/>
              <w:jc w:val="center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  <w:tc>
          <w:tcPr>
            <w:tcW w:w="8456" w:type="dxa"/>
            <w:gridSpan w:val="3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22d- Se a impugnação for acolhida, será definida e publicada nova data para realização do certame (retornar ao item 18 para registrar a alteração)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9210" w:type="dxa"/>
            <w:gridSpan w:val="4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23- pedidos de esclarecimento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>
          <w:trHeight w:val="565" w:hRule="atLeast"/>
          <w:cantSplit w:val="true"/>
        </w:trPr>
        <w:tc>
          <w:tcPr>
            <w:tcW w:w="754" w:type="dxa"/>
            <w:vMerge w:val="restart"/>
            <w:tcBorders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ind w:left="113" w:right="113"/>
              <w:jc w:val="center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SIM</w:t>
            </w:r>
          </w:p>
        </w:tc>
        <w:tc>
          <w:tcPr>
            <w:tcW w:w="8456" w:type="dxa"/>
            <w:gridSpan w:val="3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23a- Solicitação de esclarecimento encaminhada para o endereço constante no edital (até 3 dias úteis antes da data de abertura – art. 164 da Lei 14.133/2021)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>
          <w:trHeight w:val="417" w:hRule="atLeast"/>
          <w:cantSplit w:val="true"/>
        </w:trPr>
        <w:tc>
          <w:tcPr>
            <w:tcW w:w="754" w:type="dxa"/>
            <w:vMerge w:val="continue"/>
            <w:tcBorders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ind w:left="113" w:right="113"/>
              <w:jc w:val="center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  <w:tc>
          <w:tcPr>
            <w:tcW w:w="8456" w:type="dxa"/>
            <w:gridSpan w:val="3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23b- Resposta do pregoeiro e da equipe de apoio (em até 3 dias úteis após o pedido de esclarecimento, limitado ao dia útil anterior à data de abertura – art. 164, parágrafo único da Lei 14.133/2021)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>
          <w:trHeight w:val="699" w:hRule="atLeast"/>
          <w:cantSplit w:val="true"/>
        </w:trPr>
        <w:tc>
          <w:tcPr>
            <w:tcW w:w="754" w:type="dxa"/>
            <w:vMerge w:val="continue"/>
            <w:tcBorders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ind w:left="113" w:right="113"/>
              <w:jc w:val="center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  <w:tc>
          <w:tcPr>
            <w:tcW w:w="8456" w:type="dxa"/>
            <w:gridSpan w:val="3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23c- Documento compras.gov.br demonstrando o cadastro do esclarecimento e a respectiva resposta, assim como divulgação em sítio eletrônico oficial (art. 164, parágrafo único da Lei 14.133/2021)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9210" w:type="dxa"/>
            <w:gridSpan w:val="4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 xml:space="preserve">24- Julgamento da proposta  </w:t>
            </w:r>
            <w:r>
              <w:rPr>
                <w:rFonts w:eastAsia="Calibri" w:cs="CenturyGothic" w:ascii="CenturyGothic" w:hAnsi="CenturyGothic"/>
                <w:b/>
                <w:kern w:val="0"/>
                <w:sz w:val="20"/>
                <w:szCs w:val="20"/>
                <w:lang w:val="pt-BR" w:eastAsia="en-US" w:bidi="ar-SA"/>
              </w:rPr>
              <w:t>(edital – ver quadro seguinte)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9210" w:type="dxa"/>
            <w:gridSpan w:val="4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 xml:space="preserve">25- Proposta original do fornecedor vencedor </w:t>
            </w:r>
            <w:r>
              <w:rPr>
                <w:rFonts w:eastAsia="Calibri" w:cs="CenturyGothic" w:ascii="CenturyGothic" w:hAnsi="CenturyGothic"/>
                <w:b/>
                <w:kern w:val="0"/>
                <w:sz w:val="20"/>
                <w:szCs w:val="20"/>
                <w:lang w:val="pt-BR" w:eastAsia="en-US" w:bidi="ar-SA"/>
              </w:rPr>
              <w:t>(anexo do edital – ver quadro seguinte)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  <w:highlight w:val="yellow"/>
              </w:rPr>
            </w:pPr>
            <w:r>
              <w:rPr>
                <w:rFonts w:cs="CenturyGothic" w:ascii="CenturyGothic" w:hAnsi="CenturyGothic"/>
                <w:sz w:val="20"/>
                <w:szCs w:val="20"/>
                <w:highlight w:val="yellow"/>
              </w:rPr>
            </w:r>
          </w:p>
        </w:tc>
      </w:tr>
      <w:tr>
        <w:trPr/>
        <w:tc>
          <w:tcPr>
            <w:tcW w:w="9210" w:type="dxa"/>
            <w:gridSpan w:val="4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 xml:space="preserve">26- Documentos de habilitação </w:t>
            </w:r>
            <w:r>
              <w:rPr>
                <w:rFonts w:eastAsia="Calibri" w:cs="CenturyGothic" w:ascii="CenturyGothic" w:hAnsi="CenturyGothic"/>
                <w:b/>
                <w:kern w:val="0"/>
                <w:sz w:val="20"/>
                <w:szCs w:val="20"/>
                <w:lang w:val="pt-BR" w:eastAsia="en-US" w:bidi="ar-SA"/>
              </w:rPr>
              <w:t>(TR – ver quadro seguinte, de acordo com o edital)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9210" w:type="dxa"/>
            <w:gridSpan w:val="4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27- Intenção de interposição de recurso da habilitação (art. 165, inciso I, item “c” da Lei 14.133/2021)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754" w:type="dxa"/>
            <w:vMerge w:val="restart"/>
            <w:tcBorders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ind w:left="113" w:right="113"/>
              <w:jc w:val="center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SIM</w:t>
            </w:r>
          </w:p>
        </w:tc>
        <w:tc>
          <w:tcPr>
            <w:tcW w:w="8456" w:type="dxa"/>
            <w:gridSpan w:val="3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28a- Recurso do licitante (apresentado até 3 dias úteis após intimação ou a lavratura da ata – art. 165, inciso I da Lei 14.133/2021)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754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b/>
                <w:sz w:val="20"/>
                <w:szCs w:val="20"/>
              </w:rPr>
            </w:pPr>
            <w:r>
              <w:rPr>
                <w:rFonts w:cs="CenturyGothic" w:ascii="CenturyGothic" w:hAnsi="CenturyGothic"/>
                <w:b/>
                <w:sz w:val="20"/>
                <w:szCs w:val="20"/>
              </w:rPr>
            </w:r>
          </w:p>
        </w:tc>
        <w:tc>
          <w:tcPr>
            <w:tcW w:w="8456" w:type="dxa"/>
            <w:gridSpan w:val="3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28b- Contrarrazões dos demais licitantes (apresentada até 3 dias úteis após a intimação pessoal ou da divulgação da interposição de recurso – art. 165, §4º. da Lei 14.133/2021)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754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b/>
                <w:sz w:val="20"/>
                <w:szCs w:val="20"/>
              </w:rPr>
            </w:pPr>
            <w:r>
              <w:rPr>
                <w:rFonts w:cs="CenturyGothic" w:ascii="CenturyGothic" w:hAnsi="CenturyGothic"/>
                <w:b/>
                <w:sz w:val="20"/>
                <w:szCs w:val="20"/>
              </w:rPr>
            </w:r>
          </w:p>
        </w:tc>
        <w:tc>
          <w:tcPr>
            <w:tcW w:w="8456" w:type="dxa"/>
            <w:gridSpan w:val="3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28c- Pregoeiro tem 3 dias úteis para reconsiderar ou encaminhar à autoridade superior (art. 165, §2º. da Lei 14.133/2021) – se reconsiderar, retornar ao item 24 ou 26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754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b/>
                <w:sz w:val="20"/>
                <w:szCs w:val="20"/>
              </w:rPr>
            </w:pPr>
            <w:r>
              <w:rPr>
                <w:rFonts w:cs="CenturyGothic" w:ascii="CenturyGothic" w:hAnsi="CenturyGothic"/>
                <w:b/>
                <w:sz w:val="20"/>
                <w:szCs w:val="20"/>
              </w:rPr>
            </w:r>
          </w:p>
        </w:tc>
        <w:tc>
          <w:tcPr>
            <w:tcW w:w="8456" w:type="dxa"/>
            <w:gridSpan w:val="3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28d- Autoridade superior tem 10 dias úteis para proferir decisão (art. 165, §2º. da Lei 14.133/2021) – se a decisão for favorável ao recurso, retornar ao item 24 ou 26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9210" w:type="dxa"/>
            <w:gridSpan w:val="4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 xml:space="preserve">29- Documento compras.gov.br – </w:t>
            </w:r>
            <w:r>
              <w:rPr>
                <w:rFonts w:eastAsia="Calibri" w:cs="CenturyGothic" w:ascii="CenturyGothic" w:hAnsi="CenturyGothic"/>
                <w:b/>
                <w:kern w:val="0"/>
                <w:sz w:val="20"/>
                <w:szCs w:val="20"/>
                <w:lang w:val="pt-BR" w:eastAsia="en-US" w:bidi="ar-SA"/>
              </w:rPr>
              <w:t>Ata de realização do pregão eletrônico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9210" w:type="dxa"/>
            <w:gridSpan w:val="4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 xml:space="preserve">30- Grade Proposta do Fornecedor Vencedor – </w:t>
            </w:r>
            <w:r>
              <w:rPr>
                <w:rFonts w:eastAsia="Calibri" w:cs="CenturyGothic" w:ascii="CenturyGothic" w:hAnsi="CenturyGothic"/>
                <w:b/>
                <w:kern w:val="0"/>
                <w:sz w:val="20"/>
                <w:szCs w:val="20"/>
                <w:lang w:val="pt-BR" w:eastAsia="en-US" w:bidi="ar-SA"/>
              </w:rPr>
              <w:t>Sistema Mercúrio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9210" w:type="dxa"/>
            <w:gridSpan w:val="4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31- Documento da Compra com itens efetivados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9210" w:type="dxa"/>
            <w:gridSpan w:val="4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32- Informação de fechamento assinada pelo pregoeiro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9210" w:type="dxa"/>
            <w:gridSpan w:val="4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33- Informação encaminhando à Seção de Contabilidade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9210" w:type="dxa"/>
            <w:gridSpan w:val="4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34- Anulação/reforço da(s) reserva(s) e parecer da contabilidade (processo e Mercúrio)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9210" w:type="dxa"/>
            <w:gridSpan w:val="4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35- Adjudicação e homologação (por escrito) da autoridade competente (art. 71, inciso IV da Lei 14.133/2021)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9210" w:type="dxa"/>
            <w:gridSpan w:val="4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36- Publicação da homologação no DOE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9210" w:type="dxa"/>
            <w:gridSpan w:val="4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37- Informação encaminhando processo para a Contabilidade para empenhamento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9210" w:type="dxa"/>
            <w:gridSpan w:val="4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38- Contabilidade anexa a(s) Nota(s) de Empenho e providencia o(s) contrato(s), se for o caso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9210" w:type="dxa"/>
            <w:gridSpan w:val="4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39- Publicação do(s) contrato(s) no DOE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  <w:tr>
        <w:trPr/>
        <w:tc>
          <w:tcPr>
            <w:tcW w:w="9210" w:type="dxa"/>
            <w:gridSpan w:val="4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eastAsia="Calibri" w:cs="CenturyGothic" w:ascii="CenturyGothic" w:hAnsi="CenturyGothic"/>
                <w:kern w:val="0"/>
                <w:sz w:val="20"/>
                <w:szCs w:val="20"/>
                <w:lang w:val="pt-BR" w:eastAsia="en-US" w:bidi="ar-SA"/>
              </w:rPr>
              <w:t>* Qualquer alteração no edital, inclusive nova data para realização da disputa, deve ser divulgada nos mesmos meios de divulgação do edital.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" w:hAnsi="CenturyGothic" w:cs="CenturyGothic"/>
                <w:sz w:val="20"/>
                <w:szCs w:val="20"/>
              </w:rPr>
            </w:pPr>
            <w:r>
              <w:rPr>
                <w:rFonts w:cs="CenturyGothic" w:ascii="CenturyGothic" w:hAnsi="CenturyGothic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CenturyGothic,Bold" w:hAnsi="CenturyGothic,Bold" w:cs="CenturyGothic,Bold"/>
          <w:b/>
          <w:bCs/>
          <w:sz w:val="16"/>
          <w:szCs w:val="16"/>
          <w:highlight w:val="yellow"/>
        </w:rPr>
      </w:pPr>
      <w:r>
        <w:rPr>
          <w:rFonts w:cs="CenturyGothic,Bold" w:ascii="CenturyGothic,Bold" w:hAnsi="CenturyGothic,Bold"/>
          <w:b/>
          <w:bCs/>
          <w:sz w:val="16"/>
          <w:szCs w:val="16"/>
          <w:highlight w:val="yellow"/>
        </w:rPr>
      </w:r>
    </w:p>
    <w:p>
      <w:pPr>
        <w:pStyle w:val="Normal"/>
        <w:spacing w:lineRule="auto" w:line="240" w:before="0" w:after="0"/>
        <w:rPr>
          <w:rFonts w:ascii="CenturyGothic,Bold" w:hAnsi="CenturyGothic,Bold" w:cs="CenturyGothic,Bold"/>
          <w:b/>
          <w:bCs/>
          <w:sz w:val="16"/>
          <w:szCs w:val="16"/>
          <w:highlight w:val="yellow"/>
        </w:rPr>
      </w:pPr>
      <w:r>
        <w:rPr>
          <w:rFonts w:cs="CenturyGothic,Bold" w:ascii="CenturyGothic,Bold" w:hAnsi="CenturyGothic,Bold"/>
          <w:b/>
          <w:bCs/>
          <w:sz w:val="16"/>
          <w:szCs w:val="16"/>
          <w:highlight w:val="yellow"/>
        </w:rPr>
      </w:r>
    </w:p>
    <w:tbl>
      <w:tblPr>
        <w:tblStyle w:val="Tabelacomgrade"/>
        <w:tblW w:w="107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27"/>
        <w:gridCol w:w="6343"/>
        <w:gridCol w:w="994"/>
        <w:gridCol w:w="991"/>
        <w:gridCol w:w="991"/>
        <w:gridCol w:w="992"/>
      </w:tblGrid>
      <w:tr>
        <w:trPr>
          <w:trHeight w:val="708" w:hRule="exact"/>
        </w:trPr>
        <w:tc>
          <w:tcPr>
            <w:tcW w:w="6770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</w:rPr>
            </w:pPr>
            <w:r>
              <w:rPr>
                <w:rFonts w:eastAsia="Calibri" w:cs="CenturyGothic,Bold" w:ascii="CenturyGothic,Bold" w:hAnsi="CenturyGothic,Bold"/>
                <w:b/>
                <w:bCs/>
                <w:kern w:val="0"/>
                <w:sz w:val="20"/>
                <w:szCs w:val="20"/>
                <w:lang w:val="pt-BR" w:eastAsia="en-US" w:bidi="ar-SA"/>
              </w:rPr>
              <w:t>Fornecedor (identificação e CNPJ)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</w:tr>
      <w:tr>
        <w:trPr>
          <w:trHeight w:val="1012" w:hRule="exact"/>
        </w:trPr>
        <w:tc>
          <w:tcPr>
            <w:tcW w:w="427" w:type="dxa"/>
            <w:vMerge w:val="restart"/>
            <w:tcBorders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113" w:right="113"/>
              <w:jc w:val="center"/>
              <w:rPr>
                <w:rFonts w:ascii="CenturyGothic,Bold" w:hAnsi="CenturyGothic,Bold" w:cs="CenturyGothic,Bold"/>
                <w:b/>
                <w:bCs/>
                <w:sz w:val="20"/>
                <w:szCs w:val="20"/>
              </w:rPr>
            </w:pPr>
            <w:r>
              <w:rPr>
                <w:rFonts w:eastAsia="Calibri" w:cs="CenturyGothic,Bold" w:ascii="CenturyGothic,Bold" w:hAnsi="CenturyGothic,Bold"/>
                <w:b/>
                <w:bCs/>
                <w:kern w:val="0"/>
                <w:sz w:val="20"/>
                <w:szCs w:val="20"/>
                <w:lang w:val="pt-BR" w:eastAsia="en-US" w:bidi="ar-SA"/>
              </w:rPr>
              <w:t>Certidões Julgamento</w:t>
            </w:r>
          </w:p>
        </w:tc>
        <w:tc>
          <w:tcPr>
            <w:tcW w:w="634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</w:rPr>
            </w:pPr>
            <w:commentRangeStart w:id="0"/>
            <w:r>
              <w:rPr>
                <w:rFonts w:eastAsia="Calibri" w:cs="CenturyGothic,Bold" w:ascii="CenturyGothic,Bold" w:hAnsi="CenturyGothic,Bold"/>
                <w:b/>
                <w:bCs/>
                <w:kern w:val="0"/>
                <w:sz w:val="20"/>
                <w:szCs w:val="20"/>
                <w:lang w:val="pt-BR" w:eastAsia="en-US" w:bidi="ar-SA"/>
              </w:rPr>
              <w:t>SICAF NÍVEL 1 ao 6 (aviso)</w:t>
            </w:r>
            <w:r>
              <w:rPr>
                <w:rFonts w:eastAsia="Calibri" w:cs="CenturyGothic,Bold" w:ascii="CenturyGothic,Bold" w:hAnsi="CenturyGothic,Bold"/>
                <w:b/>
                <w:bCs/>
                <w:kern w:val="0"/>
                <w:sz w:val="20"/>
                <w:szCs w:val="20"/>
                <w:lang w:val="pt-BR" w:eastAsia="en-US" w:bidi="ar-SA"/>
              </w:rPr>
            </w:r>
            <w:commentRangeEnd w:id="0"/>
            <w:r>
              <w:commentReference w:id="0"/>
            </w:r>
            <w:r>
              <w:rPr>
                <w:rFonts w:eastAsia="Calibri" w:cs="CenturyGothic,Bold" w:ascii="CenturyGothic,Bold" w:hAnsi="CenturyGothic,Bold"/>
                <w:b/>
                <w:bCs/>
                <w:kern w:val="0"/>
                <w:sz w:val="20"/>
                <w:szCs w:val="20"/>
                <w:lang w:val="pt-BR" w:eastAsia="en-US" w:bidi="ar-SA"/>
              </w:rPr>
              <w:t xml:space="preserve">. </w:t>
            </w:r>
            <w:r>
              <w:rPr>
                <w:rFonts w:eastAsia="Calibri" w:cs="CenturyGothic,Bold" w:ascii="CenturyGothic,Bold" w:hAnsi="CenturyGothic,Bold"/>
                <w:b/>
                <w:bCs/>
                <w:i/>
                <w:kern w:val="0"/>
                <w:sz w:val="20"/>
                <w:szCs w:val="20"/>
                <w:lang w:val="pt-BR" w:eastAsia="en-US" w:bidi="ar-SA"/>
              </w:rPr>
              <w:t>1. Credenciamento; 2. Hab. Jurídica; 3. Reg. Fiscal e Trabalhista Fed.; 4. Reg. Fiscal Estad./Distrital e Municip.; 5. Qualif. Técnica; 6. Qualif. Econômico-Financeira.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</w:tr>
      <w:tr>
        <w:trPr>
          <w:trHeight w:val="397" w:hRule="exact"/>
        </w:trPr>
        <w:tc>
          <w:tcPr>
            <w:tcW w:w="427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</w:rPr>
            </w:r>
          </w:p>
        </w:tc>
        <w:tc>
          <w:tcPr>
            <w:tcW w:w="634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</w:rPr>
            </w:pPr>
            <w:r>
              <w:rPr>
                <w:rFonts w:eastAsia="Calibri" w:cs="CenturyGothic,Bold" w:ascii="CenturyGothic,Bold" w:hAnsi="CenturyGothic,Bold"/>
                <w:b/>
                <w:bCs/>
                <w:kern w:val="0"/>
                <w:sz w:val="20"/>
                <w:szCs w:val="20"/>
                <w:lang w:val="pt-BR" w:eastAsia="en-US" w:bidi="ar-SA"/>
              </w:rPr>
              <w:t>CEIS (edital)</w:t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</w:tr>
      <w:tr>
        <w:trPr>
          <w:trHeight w:val="397" w:hRule="exact"/>
        </w:trPr>
        <w:tc>
          <w:tcPr>
            <w:tcW w:w="427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</w:rPr>
            </w:r>
          </w:p>
        </w:tc>
        <w:tc>
          <w:tcPr>
            <w:tcW w:w="634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</w:rPr>
            </w:pPr>
            <w:r>
              <w:rPr>
                <w:rFonts w:eastAsia="Calibri" w:cs="CenturyGothic,Bold" w:ascii="CenturyGothic,Bold" w:hAnsi="CenturyGothic,Bold"/>
                <w:b/>
                <w:bCs/>
                <w:kern w:val="0"/>
                <w:sz w:val="20"/>
                <w:szCs w:val="20"/>
                <w:lang w:val="pt-BR" w:eastAsia="en-US" w:bidi="ar-SA"/>
              </w:rPr>
              <w:t>CNEP (edital)</w:t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</w:tr>
      <w:tr>
        <w:trPr>
          <w:trHeight w:val="397" w:hRule="exact"/>
        </w:trPr>
        <w:tc>
          <w:tcPr>
            <w:tcW w:w="427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</w:rPr>
            </w:r>
          </w:p>
        </w:tc>
        <w:tc>
          <w:tcPr>
            <w:tcW w:w="634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</w:rPr>
            </w:pPr>
            <w:commentRangeStart w:id="1"/>
            <w:r>
              <w:rPr>
                <w:rFonts w:eastAsia="Calibri" w:cs="CenturyGothic,Bold" w:ascii="CenturyGothic,Bold" w:hAnsi="CenturyGothic,Bold"/>
                <w:b/>
                <w:bCs/>
                <w:kern w:val="0"/>
                <w:sz w:val="20"/>
                <w:szCs w:val="20"/>
                <w:lang w:val="pt-BR" w:eastAsia="en-US" w:bidi="ar-SA"/>
              </w:rPr>
              <w:t>CNCIAI (licitante e sócio) (edital)</w:t>
            </w:r>
            <w:commentRangeEnd w:id="1"/>
            <w:r>
              <w:commentReference w:id="1"/>
            </w:r>
            <w:r>
              <w:rPr>
                <w:rFonts w:eastAsia="Calibri" w:cs="CenturyGothic,Bold" w:ascii="CenturyGothic,Bold" w:hAnsi="CenturyGothic,Bold"/>
                <w:b/>
                <w:bCs/>
                <w:kern w:val="0"/>
                <w:sz w:val="20"/>
                <w:szCs w:val="20"/>
                <w:lang w:val="pt-BR" w:eastAsia="en-US" w:bidi="ar-SA"/>
              </w:rPr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</w:tr>
      <w:tr>
        <w:trPr>
          <w:trHeight w:val="397" w:hRule="exact"/>
        </w:trPr>
        <w:tc>
          <w:tcPr>
            <w:tcW w:w="427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</w:rPr>
            </w:r>
          </w:p>
        </w:tc>
        <w:tc>
          <w:tcPr>
            <w:tcW w:w="634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</w:rPr>
            </w:pPr>
            <w:r>
              <w:rPr>
                <w:rFonts w:eastAsia="Calibri" w:cs="CenturyGothic,Bold" w:ascii="CenturyGothic,Bold" w:hAnsi="CenturyGothic,Bold"/>
                <w:b/>
                <w:bCs/>
                <w:kern w:val="0"/>
                <w:sz w:val="20"/>
                <w:szCs w:val="20"/>
                <w:lang w:val="pt-BR" w:eastAsia="en-US" w:bidi="ar-SA"/>
              </w:rPr>
              <w:t>e-Sanções (edital)</w:t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</w:tr>
      <w:tr>
        <w:trPr>
          <w:trHeight w:val="397" w:hRule="exact"/>
        </w:trPr>
        <w:tc>
          <w:tcPr>
            <w:tcW w:w="427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</w:rPr>
            </w:r>
          </w:p>
        </w:tc>
        <w:tc>
          <w:tcPr>
            <w:tcW w:w="634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</w:rPr>
            </w:pPr>
            <w:r>
              <w:rPr>
                <w:rFonts w:eastAsia="Calibri" w:cs="CenturyGothic,Bold" w:ascii="CenturyGothic,Bold" w:hAnsi="CenturyGothic,Bold"/>
                <w:b/>
                <w:bCs/>
                <w:kern w:val="0"/>
                <w:sz w:val="20"/>
                <w:szCs w:val="20"/>
                <w:lang w:val="pt-BR" w:eastAsia="en-US" w:bidi="ar-SA"/>
              </w:rPr>
              <w:t>CEEP (edital)</w:t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</w:tr>
      <w:tr>
        <w:trPr>
          <w:trHeight w:val="397" w:hRule="exact"/>
        </w:trPr>
        <w:tc>
          <w:tcPr>
            <w:tcW w:w="427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</w:rPr>
            </w:r>
          </w:p>
        </w:tc>
        <w:tc>
          <w:tcPr>
            <w:tcW w:w="634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</w:rPr>
            </w:pPr>
            <w:r>
              <w:rPr>
                <w:rFonts w:eastAsia="Calibri" w:cs="CenturyGothic,Bold" w:ascii="CenturyGothic,Bold" w:hAnsi="CenturyGothic,Bold"/>
                <w:b/>
                <w:bCs/>
                <w:kern w:val="0"/>
                <w:sz w:val="20"/>
                <w:szCs w:val="20"/>
                <w:lang w:val="pt-BR" w:eastAsia="en-US" w:bidi="ar-SA"/>
              </w:rPr>
              <w:t>TCE (edital)</w:t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</w:tr>
      <w:tr>
        <w:trPr>
          <w:trHeight w:val="397" w:hRule="exact"/>
        </w:trPr>
        <w:tc>
          <w:tcPr>
            <w:tcW w:w="427" w:type="dxa"/>
            <w:vMerge w:val="restart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113" w:right="113"/>
              <w:jc w:val="center"/>
              <w:rPr>
                <w:rFonts w:ascii="CenturyGothic,Bold" w:hAnsi="CenturyGothic,Bold" w:cs="CenturyGothic,Bold"/>
                <w:b/>
                <w:bCs/>
                <w:sz w:val="20"/>
                <w:szCs w:val="20"/>
              </w:rPr>
            </w:pPr>
            <w:r>
              <w:rPr>
                <w:rFonts w:eastAsia="Calibri" w:cs="CenturyGothic,Bold" w:ascii="CenturyGothic,Bold" w:hAnsi="CenturyGothic,Bold"/>
                <w:b/>
                <w:bCs/>
                <w:kern w:val="0"/>
                <w:sz w:val="20"/>
                <w:szCs w:val="20"/>
                <w:lang w:val="pt-BR" w:eastAsia="en-US" w:bidi="ar-SA"/>
              </w:rPr>
              <w:t>Habilitação</w:t>
            </w:r>
          </w:p>
        </w:tc>
        <w:tc>
          <w:tcPr>
            <w:tcW w:w="634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eastAsia="Calibri" w:cs="CenturyGothic,Bold" w:ascii="CenturyGothic,Bold" w:hAnsi="CenturyGothic,Bold"/>
                <w:b/>
                <w:bCs/>
                <w:kern w:val="0"/>
                <w:sz w:val="20"/>
                <w:szCs w:val="20"/>
                <w:lang w:val="pt-BR" w:eastAsia="en-US" w:bidi="ar-SA"/>
              </w:rPr>
              <w:t xml:space="preserve">Habilitação Jurídica (TR) </w:t>
            </w:r>
            <w:r>
              <w:rPr>
                <w:rFonts w:eastAsia="Calibri" w:cs="CenturyGothic,Bold" w:ascii="CenturyGothic,Bold" w:hAnsi="CenturyGothic,Bold"/>
                <w:b/>
                <w:bCs/>
                <w:color w:val="FF0000"/>
                <w:kern w:val="0"/>
                <w:sz w:val="20"/>
                <w:szCs w:val="20"/>
                <w:lang w:val="pt-BR" w:eastAsia="en-US" w:bidi="ar-SA"/>
              </w:rPr>
              <w:t>SICAF NÍVEL 2</w:t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</w:tr>
      <w:tr>
        <w:trPr>
          <w:trHeight w:val="397" w:hRule="exact"/>
        </w:trPr>
        <w:tc>
          <w:tcPr>
            <w:tcW w:w="427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</w:rPr>
            </w:r>
          </w:p>
        </w:tc>
        <w:tc>
          <w:tcPr>
            <w:tcW w:w="634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</w:rPr>
            </w:pPr>
            <w:r>
              <w:rPr>
                <w:rFonts w:eastAsia="Calibri" w:cs="CenturyGothic,Bold" w:ascii="CenturyGothic,Bold" w:hAnsi="CenturyGothic,Bold"/>
                <w:b/>
                <w:bCs/>
                <w:kern w:val="0"/>
                <w:sz w:val="20"/>
                <w:szCs w:val="20"/>
                <w:lang w:val="pt-BR" w:eastAsia="en-US" w:bidi="ar-SA"/>
              </w:rPr>
              <w:t>CNPJ/CPF (TR)</w:t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</w:rPr>
            </w:r>
          </w:p>
        </w:tc>
        <w:tc>
          <w:tcPr>
            <w:tcW w:w="99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</w:rPr>
            </w:r>
          </w:p>
        </w:tc>
      </w:tr>
      <w:tr>
        <w:trPr>
          <w:trHeight w:val="397" w:hRule="exact"/>
        </w:trPr>
        <w:tc>
          <w:tcPr>
            <w:tcW w:w="427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</w:rPr>
            </w:r>
          </w:p>
        </w:tc>
        <w:tc>
          <w:tcPr>
            <w:tcW w:w="634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eastAsia="Calibri" w:cs="CenturyGothic,Bold" w:ascii="CenturyGothic,Bold" w:hAnsi="CenturyGothic,Bold"/>
                <w:b/>
                <w:bCs/>
                <w:kern w:val="0"/>
                <w:sz w:val="20"/>
                <w:szCs w:val="20"/>
                <w:lang w:val="pt-BR" w:eastAsia="en-US" w:bidi="ar-SA"/>
              </w:rPr>
              <w:t>CND Federal (TR)</w:t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</w:tr>
      <w:tr>
        <w:trPr>
          <w:trHeight w:val="397" w:hRule="exact"/>
        </w:trPr>
        <w:tc>
          <w:tcPr>
            <w:tcW w:w="427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</w:rPr>
            </w:r>
          </w:p>
        </w:tc>
        <w:tc>
          <w:tcPr>
            <w:tcW w:w="634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</w:rPr>
            </w:pPr>
            <w:r>
              <w:rPr>
                <w:rFonts w:eastAsia="Calibri" w:cs="CenturyGothic,Bold" w:ascii="CenturyGothic,Bold" w:hAnsi="CenturyGothic,Bold"/>
                <w:b/>
                <w:bCs/>
                <w:kern w:val="0"/>
                <w:sz w:val="20"/>
                <w:szCs w:val="20"/>
                <w:lang w:val="pt-BR" w:eastAsia="en-US" w:bidi="ar-SA"/>
              </w:rPr>
              <w:t>CRF – FGTS (TR)</w:t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</w:tr>
      <w:tr>
        <w:trPr>
          <w:trHeight w:val="397" w:hRule="exact"/>
        </w:trPr>
        <w:tc>
          <w:tcPr>
            <w:tcW w:w="427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</w:rPr>
            </w:r>
          </w:p>
        </w:tc>
        <w:tc>
          <w:tcPr>
            <w:tcW w:w="634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</w:rPr>
            </w:pPr>
            <w:r>
              <w:rPr>
                <w:rFonts w:eastAsia="Calibri" w:cs="CenturyGothic,Bold" w:ascii="CenturyGothic,Bold" w:hAnsi="CenturyGothic,Bold"/>
                <w:b/>
                <w:bCs/>
                <w:kern w:val="0"/>
                <w:sz w:val="20"/>
                <w:szCs w:val="20"/>
                <w:lang w:val="pt-BR" w:eastAsia="en-US" w:bidi="ar-SA"/>
              </w:rPr>
              <w:t>CNDT – Trabalhista (TR)</w:t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</w:tr>
      <w:tr>
        <w:trPr>
          <w:trHeight w:val="397" w:hRule="exact"/>
        </w:trPr>
        <w:tc>
          <w:tcPr>
            <w:tcW w:w="427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</w:rPr>
            </w:r>
          </w:p>
        </w:tc>
        <w:tc>
          <w:tcPr>
            <w:tcW w:w="634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</w:rPr>
            </w:pPr>
            <w:r>
              <w:rPr>
                <w:rFonts w:eastAsia="Calibri" w:cs="CenturyGothic,Bold" w:ascii="CenturyGothic,Bold" w:hAnsi="CenturyGothic,Bold"/>
                <w:b/>
                <w:bCs/>
                <w:kern w:val="0"/>
                <w:sz w:val="20"/>
                <w:szCs w:val="20"/>
                <w:lang w:val="pt-BR" w:eastAsia="en-US" w:bidi="ar-SA"/>
              </w:rPr>
              <w:t>Inscr. Est. e/ou Mun. (TR)</w:t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</w:tr>
      <w:tr>
        <w:trPr>
          <w:trHeight w:val="397" w:hRule="exact"/>
        </w:trPr>
        <w:tc>
          <w:tcPr>
            <w:tcW w:w="427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</w:rPr>
            </w:r>
          </w:p>
        </w:tc>
        <w:tc>
          <w:tcPr>
            <w:tcW w:w="634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</w:rPr>
            </w:pPr>
            <w:r>
              <w:rPr>
                <w:rFonts w:eastAsia="Calibri" w:cs="CenturyGothic,Bold" w:ascii="CenturyGothic,Bold" w:hAnsi="CenturyGothic,Bold"/>
                <w:b/>
                <w:bCs/>
                <w:kern w:val="0"/>
                <w:sz w:val="20"/>
                <w:szCs w:val="20"/>
                <w:lang w:val="pt-BR" w:eastAsia="en-US" w:bidi="ar-SA"/>
              </w:rPr>
              <w:t>Reg. Fiscal Est ou Mun. (TR)</w:t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</w:tr>
      <w:tr>
        <w:trPr>
          <w:trHeight w:val="397" w:hRule="exact"/>
        </w:trPr>
        <w:tc>
          <w:tcPr>
            <w:tcW w:w="427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</w:rPr>
            </w:r>
          </w:p>
        </w:tc>
        <w:tc>
          <w:tcPr>
            <w:tcW w:w="634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</w:rPr>
            </w:pPr>
            <w:r>
              <w:rPr>
                <w:rFonts w:eastAsia="Calibri" w:cs="CenturyGothic,Bold" w:ascii="CenturyGothic,Bold" w:hAnsi="CenturyGothic,Bold"/>
                <w:b/>
                <w:bCs/>
                <w:kern w:val="0"/>
                <w:sz w:val="20"/>
                <w:szCs w:val="20"/>
                <w:lang w:val="pt-BR" w:eastAsia="en-US" w:bidi="ar-SA"/>
              </w:rPr>
              <w:t>Declaração isenção tributos, se for o caso (TR)</w:t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</w:tr>
      <w:tr>
        <w:trPr>
          <w:trHeight w:val="397" w:hRule="exact"/>
        </w:trPr>
        <w:tc>
          <w:tcPr>
            <w:tcW w:w="427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</w:rPr>
            </w:r>
          </w:p>
        </w:tc>
        <w:tc>
          <w:tcPr>
            <w:tcW w:w="634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</w:rPr>
            </w:pPr>
            <w:r>
              <w:rPr>
                <w:rFonts w:eastAsia="Calibri" w:cs="CenturyGothic,Bold" w:ascii="CenturyGothic,Bold" w:hAnsi="CenturyGothic,Bold"/>
                <w:b/>
                <w:bCs/>
                <w:kern w:val="0"/>
                <w:sz w:val="20"/>
                <w:szCs w:val="20"/>
                <w:lang w:val="pt-BR" w:eastAsia="en-US" w:bidi="ar-SA"/>
              </w:rPr>
              <w:t>Cert. Neg. Insolvência (TR, se pessoa física)</w:t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</w:tr>
      <w:tr>
        <w:trPr>
          <w:trHeight w:val="397" w:hRule="exact"/>
        </w:trPr>
        <w:tc>
          <w:tcPr>
            <w:tcW w:w="427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</w:rPr>
            </w:r>
          </w:p>
        </w:tc>
        <w:tc>
          <w:tcPr>
            <w:tcW w:w="634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</w:rPr>
            </w:pPr>
            <w:r>
              <w:rPr>
                <w:rFonts w:eastAsia="Calibri" w:cs="CenturyGothic,Bold" w:ascii="CenturyGothic,Bold" w:hAnsi="CenturyGothic,Bold"/>
                <w:b/>
                <w:bCs/>
                <w:kern w:val="0"/>
                <w:sz w:val="20"/>
                <w:szCs w:val="20"/>
                <w:lang w:val="pt-BR" w:eastAsia="en-US" w:bidi="ar-SA"/>
              </w:rPr>
              <w:t>Cert. Falência (TR)</w:t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</w:tr>
      <w:tr>
        <w:trPr>
          <w:trHeight w:val="499" w:hRule="exact"/>
        </w:trPr>
        <w:tc>
          <w:tcPr>
            <w:tcW w:w="427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</w:rPr>
            </w:r>
          </w:p>
        </w:tc>
        <w:tc>
          <w:tcPr>
            <w:tcW w:w="634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</w:rPr>
            </w:pPr>
            <w:r>
              <w:rPr>
                <w:rFonts w:eastAsia="Calibri" w:cs="CenturyGothic,Bold" w:ascii="CenturyGothic,Bold" w:hAnsi="CenturyGothic,Bold"/>
                <w:b/>
                <w:bCs/>
                <w:kern w:val="0"/>
                <w:sz w:val="20"/>
                <w:szCs w:val="20"/>
                <w:lang w:val="pt-BR" w:eastAsia="en-US" w:bidi="ar-SA"/>
              </w:rPr>
              <w:t xml:space="preserve">Demonstrações contábeis dos 2 últimos anos (TR) </w:t>
            </w:r>
            <w:r>
              <w:rPr>
                <w:rFonts w:eastAsia="Calibri" w:cs="CenturyGothic,Bold" w:ascii="CenturyGothic,Bold" w:hAnsi="CenturyGothic,Bold"/>
                <w:b/>
                <w:bCs/>
                <w:color w:val="FF0000"/>
                <w:kern w:val="0"/>
                <w:sz w:val="20"/>
                <w:szCs w:val="20"/>
                <w:lang w:val="pt-BR" w:eastAsia="en-US" w:bidi="ar-SA"/>
              </w:rPr>
              <w:t>SICAF NÍVEL 6</w:t>
            </w:r>
          </w:p>
        </w:tc>
        <w:tc>
          <w:tcPr>
            <w:tcW w:w="99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</w:tr>
      <w:tr>
        <w:trPr>
          <w:trHeight w:val="397" w:hRule="exact"/>
        </w:trPr>
        <w:tc>
          <w:tcPr>
            <w:tcW w:w="427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</w:rPr>
            </w:r>
          </w:p>
        </w:tc>
        <w:tc>
          <w:tcPr>
            <w:tcW w:w="634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</w:rPr>
            </w:pPr>
            <w:r>
              <w:rPr>
                <w:rFonts w:eastAsia="Calibri" w:cs="CenturyGothic,Bold" w:ascii="CenturyGothic,Bold" w:hAnsi="CenturyGothic,Bold"/>
                <w:b/>
                <w:bCs/>
                <w:kern w:val="0"/>
                <w:sz w:val="20"/>
                <w:szCs w:val="20"/>
                <w:lang w:val="pt-BR" w:eastAsia="en-US" w:bidi="ar-SA"/>
              </w:rPr>
              <w:t>Registro ent. Profis. (TR)</w:t>
            </w:r>
          </w:p>
        </w:tc>
        <w:tc>
          <w:tcPr>
            <w:tcW w:w="99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</w:tr>
      <w:tr>
        <w:trPr>
          <w:trHeight w:val="397" w:hRule="exact"/>
        </w:trPr>
        <w:tc>
          <w:tcPr>
            <w:tcW w:w="427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634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</w:rPr>
            </w:pPr>
            <w:r>
              <w:rPr>
                <w:rFonts w:eastAsia="Calibri" w:cs="CenturyGothic,Bold" w:ascii="CenturyGothic,Bold" w:hAnsi="CenturyGothic,Bold"/>
                <w:b/>
                <w:bCs/>
                <w:kern w:val="0"/>
                <w:sz w:val="20"/>
                <w:szCs w:val="20"/>
                <w:lang w:val="pt-BR" w:eastAsia="en-US" w:bidi="ar-SA"/>
              </w:rPr>
              <w:t>Atestado Capacidade Técnica (TR)</w:t>
            </w:r>
          </w:p>
        </w:tc>
        <w:tc>
          <w:tcPr>
            <w:tcW w:w="99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</w:tr>
      <w:tr>
        <w:trPr>
          <w:trHeight w:val="397" w:hRule="exact"/>
        </w:trPr>
        <w:tc>
          <w:tcPr>
            <w:tcW w:w="427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634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</w:tr>
      <w:tr>
        <w:trPr>
          <w:trHeight w:val="397" w:hRule="exact"/>
        </w:trPr>
        <w:tc>
          <w:tcPr>
            <w:tcW w:w="427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634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</w:tr>
      <w:tr>
        <w:trPr>
          <w:trHeight w:val="397" w:hRule="exact"/>
        </w:trPr>
        <w:tc>
          <w:tcPr>
            <w:tcW w:w="427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634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</w:tr>
      <w:tr>
        <w:trPr>
          <w:trHeight w:val="397" w:hRule="exact"/>
        </w:trPr>
        <w:tc>
          <w:tcPr>
            <w:tcW w:w="427" w:type="dxa"/>
            <w:vMerge w:val="restart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113" w:right="113"/>
              <w:jc w:val="center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eastAsia="Calibri" w:cs="CenturyGothic,Bold" w:ascii="CenturyGothic,Bold" w:hAnsi="CenturyGothic,Bold"/>
                <w:b/>
                <w:bCs/>
                <w:kern w:val="0"/>
                <w:sz w:val="20"/>
                <w:szCs w:val="20"/>
                <w:lang w:val="pt-BR" w:eastAsia="en-US" w:bidi="ar-SA"/>
              </w:rPr>
              <w:t>Proposta</w:t>
            </w:r>
          </w:p>
        </w:tc>
        <w:tc>
          <w:tcPr>
            <w:tcW w:w="634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</w:rPr>
            </w:pPr>
            <w:r>
              <w:rPr>
                <w:rFonts w:eastAsia="Calibri" w:cs="CenturyGothic,Bold" w:ascii="CenturyGothic,Bold" w:hAnsi="CenturyGothic,Bold"/>
                <w:b/>
                <w:bCs/>
                <w:kern w:val="0"/>
                <w:sz w:val="20"/>
                <w:szCs w:val="20"/>
                <w:lang w:val="pt-BR" w:eastAsia="en-US" w:bidi="ar-SA"/>
              </w:rPr>
              <w:t>Valor unitário ou total de acordo com o edital</w:t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</w:tr>
      <w:tr>
        <w:trPr>
          <w:trHeight w:val="719" w:hRule="exact"/>
        </w:trPr>
        <w:tc>
          <w:tcPr>
            <w:tcW w:w="427" w:type="dxa"/>
            <w:vMerge w:val="continue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113" w:right="113"/>
              <w:jc w:val="center"/>
              <w:rPr>
                <w:rFonts w:ascii="CenturyGothic,Bold" w:hAnsi="CenturyGothic,Bold" w:cs="CenturyGothic,Bold"/>
                <w:b/>
                <w:bCs/>
                <w:sz w:val="20"/>
                <w:szCs w:val="20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</w:rPr>
            </w:r>
          </w:p>
        </w:tc>
        <w:tc>
          <w:tcPr>
            <w:tcW w:w="634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</w:rPr>
            </w:pPr>
            <w:r>
              <w:rPr>
                <w:rFonts w:eastAsia="Calibri" w:cs="CenturyGothic,Bold" w:ascii="CenturyGothic,Bold" w:hAnsi="CenturyGothic,Bold"/>
                <w:b/>
                <w:bCs/>
                <w:kern w:val="0"/>
                <w:sz w:val="20"/>
                <w:szCs w:val="20"/>
                <w:lang w:val="pt-BR" w:eastAsia="en-US" w:bidi="ar-SA"/>
              </w:rPr>
              <w:t xml:space="preserve">Conta no Banco do Brasil </w:t>
            </w:r>
            <w:r>
              <w:rPr>
                <w:rFonts w:eastAsia="Calibri" w:cs="CenturyGothic,Bold" w:ascii="CenturyGothic,Bold" w:hAnsi="CenturyGothic,Bold"/>
                <w:b/>
                <w:bCs/>
                <w:i/>
                <w:iCs/>
                <w:kern w:val="0"/>
                <w:sz w:val="20"/>
                <w:szCs w:val="20"/>
                <w:lang w:val="pt-BR" w:eastAsia="en-US" w:bidi="ar-SA"/>
              </w:rPr>
              <w:t>(Decreto 66.000 de 09/09/2021 – Válido até 28/09/2027) – Obrigatório</w:t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</w:tr>
      <w:tr>
        <w:trPr>
          <w:trHeight w:val="397" w:hRule="exact"/>
        </w:trPr>
        <w:tc>
          <w:tcPr>
            <w:tcW w:w="427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634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</w:rPr>
            </w:pPr>
            <w:r>
              <w:rPr>
                <w:rFonts w:eastAsia="Calibri" w:cs="CenturyGothic,Bold" w:ascii="CenturyGothic,Bold" w:hAnsi="CenturyGothic,Bold"/>
                <w:b/>
                <w:bCs/>
                <w:kern w:val="0"/>
                <w:sz w:val="20"/>
                <w:szCs w:val="20"/>
                <w:lang w:val="pt-BR" w:eastAsia="en-US" w:bidi="ar-SA"/>
              </w:rPr>
              <w:t>Marca (edital)</w:t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  <w:tc>
          <w:tcPr>
            <w:tcW w:w="9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Gothic,Bold" w:hAnsi="CenturyGothic,Bold" w:cs="CenturyGothic,Bold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CenturyGothic,Bold" w:ascii="CenturyGothic,Bold" w:hAnsi="CenturyGothic,Bold"/>
                <w:b/>
                <w:bCs/>
                <w:sz w:val="20"/>
                <w:szCs w:val="20"/>
                <w:highlight w:val="yellow"/>
              </w:rPr>
            </w:r>
          </w:p>
        </w:tc>
      </w:tr>
    </w:tbl>
    <w:p>
      <w:pPr>
        <w:sectPr>
          <w:type w:val="nextPage"/>
          <w:pgSz w:w="11906" w:h="16838"/>
          <w:pgMar w:left="1134" w:right="567" w:gutter="0" w:header="0" w:top="567" w:footer="0" w:bottom="851"/>
          <w:pgNumType w:fmt="decimal"/>
          <w:formProt w:val="false"/>
          <w:textDirection w:val="lrTb"/>
          <w:docGrid w:type="default" w:linePitch="360" w:charSpace="8192"/>
        </w:sectPr>
      </w:pPr>
    </w:p>
    <w:p>
      <w:pPr>
        <w:sectPr>
          <w:type w:val="nextPage"/>
          <w:pgSz w:w="11906" w:h="16838"/>
          <w:pgMar w:left="1134" w:right="567" w:gutter="0" w:header="0" w:top="567" w:footer="0" w:bottom="851"/>
          <w:pgNumType w:fmt="decimal"/>
          <w:formProt w:val="false"/>
          <w:textDirection w:val="lrTb"/>
          <w:docGrid w:type="default" w:linePitch="360" w:charSpace="8192"/>
        </w:sectPr>
        <w:pStyle w:val="Normal"/>
        <w:spacing w:lineRule="auto" w:line="240" w:before="0" w:after="0"/>
        <w:rPr>
          <w:rFonts w:ascii="CenturyGothic,Bold" w:hAnsi="CenturyGothic,Bold" w:cs="CenturyGothic,Bold"/>
          <w:b/>
          <w:bCs/>
          <w:sz w:val="16"/>
          <w:szCs w:val="16"/>
        </w:rPr>
      </w:pPr>
      <w:r>
        <w:rPr>
          <w:rFonts w:cs="CenturyGothic,Bold" w:ascii="CenturyGothic,Bold" w:hAnsi="CenturyGothic,Bold"/>
          <w:b/>
          <w:bCs/>
          <w:sz w:val="16"/>
          <w:szCs w:val="16"/>
        </w:rPr>
      </w:r>
      <w:r>
        <w:br w:type="page"/>
      </w:r>
    </w:p>
    <w:tbl>
      <w:tblPr>
        <w:tblW w:w="11199" w:type="dxa"/>
        <w:jc w:val="left"/>
        <w:tblInd w:w="10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noHBand="0" w:noVBand="1" w:firstColumn="1" w:lastRow="0" w:lastColumn="0" w:firstRow="1"/>
      </w:tblPr>
      <w:tblGrid>
        <w:gridCol w:w="4863"/>
        <w:gridCol w:w="4152"/>
        <w:gridCol w:w="2184"/>
      </w:tblGrid>
      <w:tr>
        <w:trPr/>
        <w:tc>
          <w:tcPr>
            <w:tcW w:w="48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dodatabela"/>
              <w:pageBreakBefore/>
              <w:widowControl/>
              <w:spacing w:lineRule="auto" w:line="331" w:before="0" w:after="0"/>
              <w:rPr/>
            </w:pPr>
            <w:r>
              <w:rPr>
                <w:rFonts w:cs="CenturyGothic,Bold" w:ascii="Arial;sans-serif" w:hAnsi="Arial;sans-serif"/>
                <w:bCs/>
                <w:sz w:val="32"/>
                <w:szCs w:val="16"/>
              </w:rPr>
              <w:t>{{ numero_sei }}</w:t>
            </w:r>
          </w:p>
        </w:tc>
        <w:tc>
          <w:tcPr>
            <w:tcW w:w="4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dodatabela"/>
              <w:widowControl/>
              <w:spacing w:lineRule="auto" w:line="331" w:before="0" w:after="0"/>
              <w:rPr/>
            </w:pPr>
            <w:r>
              <w:rPr>
                <w:rFonts w:cs="CenturyGothic,Bold" w:ascii="Arial;sans-serif" w:hAnsi="Arial;sans-serif"/>
                <w:bCs/>
                <w:sz w:val="32"/>
                <w:szCs w:val="16"/>
              </w:rPr>
              <w:t>{{ numero_compra }}</w:t>
            </w:r>
          </w:p>
        </w:tc>
        <w:tc>
          <w:tcPr>
            <w:tcW w:w="2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dodatabela"/>
              <w:widowControl/>
              <w:spacing w:lineRule="auto" w:line="288" w:before="0" w:after="0"/>
              <w:jc w:val="center"/>
              <w:rPr/>
            </w:pPr>
            <w:r>
              <w:rPr>
                <w:rFonts w:cs="CenturyGothic,Bold" w:ascii="Arial;sans-serif" w:hAnsi="Arial;sans-serif"/>
                <w:bCs/>
                <w:szCs w:val="16"/>
              </w:rPr>
              <w:t>{{ nome_agente_contratacao }}</w:t>
            </w:r>
          </w:p>
        </w:tc>
      </w:tr>
      <w:tr>
        <w:trPr/>
        <w:tc>
          <w:tcPr>
            <w:tcW w:w="48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dodatabela"/>
              <w:widowControl/>
              <w:spacing w:lineRule="auto" w:line="331" w:before="0" w:after="0"/>
              <w:rPr/>
            </w:pPr>
            <w:r>
              <w:rPr>
                <w:rFonts w:cs="CenturyGothic,Bold" w:ascii="Arial;sans-serif" w:hAnsi="Arial;sans-serif"/>
                <w:bCs/>
                <w:szCs w:val="16"/>
              </w:rPr>
              <w:t>{{ modalidade }}</w:t>
            </w:r>
          </w:p>
          <w:p>
            <w:pPr>
              <w:pStyle w:val="Contedodatabela"/>
              <w:widowControl/>
              <w:spacing w:lineRule="auto" w:line="331" w:before="0" w:after="0"/>
              <w:rPr/>
            </w:pPr>
            <w:r>
              <w:rPr>
                <w:rFonts w:cs="CenturyGothic,Bold" w:ascii="Arial;sans-serif" w:hAnsi="Arial;sans-serif"/>
                <w:bCs/>
                <w:szCs w:val="16"/>
              </w:rPr>
              <w:t>{{ tipo }}</w:t>
            </w:r>
          </w:p>
        </w:tc>
        <w:tc>
          <w:tcPr>
            <w:tcW w:w="4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</w:r>
          </w:p>
        </w:tc>
        <w:tc>
          <w:tcPr>
            <w:tcW w:w="2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48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dodatabela"/>
              <w:widowControl/>
              <w:spacing w:lineRule="auto" w:line="331" w:before="0" w:after="0"/>
              <w:rPr/>
            </w:pPr>
            <w:r>
              <w:rPr>
                <w:rFonts w:cs="CenturyGothic,Bold" w:ascii="Arial;sans-serif" w:hAnsi="Arial;sans-serif"/>
                <w:bCs/>
              </w:rPr>
              <w:t>{{ objeto }}</w:t>
            </w:r>
          </w:p>
        </w:tc>
        <w:tc>
          <w:tcPr>
            <w:tcW w:w="4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</w:r>
          </w:p>
        </w:tc>
        <w:tc>
          <w:tcPr>
            <w:tcW w:w="2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dodatabela"/>
              <w:widowControl/>
              <w:spacing w:lineRule="auto" w:line="288" w:before="0" w:after="0"/>
              <w:rPr/>
            </w:pPr>
            <w:r>
              <w:rPr>
                <w:rFonts w:cs="CenturyGothic,Bold" w:ascii="Arial;sans-serif" w:hAnsi="Arial;sans-serif"/>
                <w:bCs/>
                <w:sz w:val="20"/>
                <w:szCs w:val="16"/>
              </w:rPr>
              <w:t>{{ valor_total_previsto</w:t>
            </w:r>
            <w:r>
              <w:rPr>
                <w:rFonts w:cs="CenturyGothic,Bold" w:ascii="Arial;sans-serif" w:hAnsi="Arial;sans-serif"/>
                <w:bCs/>
                <w:sz w:val="20"/>
                <w:szCs w:val="16"/>
              </w:rPr>
              <w:t>_brl</w:t>
            </w:r>
            <w:r>
              <w:rPr>
                <w:rFonts w:cs="CenturyGothic,Bold" w:ascii="Arial;sans-serif" w:hAnsi="Arial;sans-serif"/>
                <w:bCs/>
                <w:sz w:val="20"/>
                <w:szCs w:val="16"/>
              </w:rPr>
              <w:t xml:space="preserve"> }}</w:t>
            </w:r>
          </w:p>
        </w:tc>
      </w:tr>
    </w:tbl>
    <w:p>
      <w:pPr>
        <w:pStyle w:val="Normal"/>
        <w:spacing w:before="0" w:after="0"/>
        <w:rPr>
          <w:rFonts w:ascii="CenturyGothic,Bold" w:hAnsi="CenturyGothic,Bold" w:cs="CenturyGothic,Bold"/>
          <w:b/>
          <w:bCs/>
          <w:sz w:val="16"/>
          <w:szCs w:val="16"/>
        </w:rPr>
      </w:pPr>
      <w:r>
        <w:rPr>
          <w:rFonts w:cs="CenturyGothic,Bold" w:ascii="CenturyGothic,Bold" w:hAnsi="CenturyGothic,Bold"/>
          <w:b/>
          <w:bCs/>
          <w:sz w:val="16"/>
          <w:szCs w:val="16"/>
        </w:rPr>
      </w:r>
    </w:p>
    <w:p>
      <w:pPr>
        <w:pStyle w:val="Normal"/>
        <w:spacing w:before="0" w:after="0"/>
        <w:rPr/>
      </w:pPr>
      <w:r>
        <w:rPr/>
      </w:r>
    </w:p>
    <w:tbl>
      <w:tblPr>
        <w:tblW w:w="11199" w:type="dxa"/>
        <w:jc w:val="left"/>
        <w:tblInd w:w="10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noHBand="0" w:noVBand="1" w:firstColumn="1" w:lastRow="0" w:lastColumn="0" w:firstRow="1"/>
      </w:tblPr>
      <w:tblGrid>
        <w:gridCol w:w="5414"/>
        <w:gridCol w:w="1980"/>
        <w:gridCol w:w="1351"/>
        <w:gridCol w:w="2453"/>
      </w:tblGrid>
      <w:tr>
        <w:trPr/>
        <w:tc>
          <w:tcPr>
            <w:tcW w:w="5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Contedodatabela"/>
              <w:widowControl/>
              <w:suppressAutoHyphens w:val="true"/>
              <w:bidi w:val="0"/>
              <w:spacing w:lineRule="auto" w:line="240" w:before="0" w:after="20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16"/>
                <w:szCs w:val="22"/>
                <w:lang w:val="pt-BR" w:eastAsia="en-US" w:bidi="ar-SA"/>
              </w:rPr>
            </w:pPr>
            <w:r>
              <w:rPr>
                <w:rFonts w:eastAsia="Calibri" w:cs="" w:cstheme="minorBidi" w:eastAsiaTheme="minorHAnsi" w:ascii="Calibri" w:hAnsi="Calibri"/>
                <w:color w:val="auto"/>
                <w:kern w:val="0"/>
                <w:sz w:val="16"/>
                <w:szCs w:val="22"/>
                <w:lang w:val="pt-BR" w:eastAsia="en-US" w:bidi="ar-SA"/>
              </w:rPr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dodatabela"/>
              <w:widowControl/>
              <w:suppressAutoHyphens w:val="true"/>
              <w:bidi w:val="0"/>
              <w:spacing w:lineRule="auto" w:line="240" w:before="0" w:after="20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16"/>
                <w:szCs w:val="22"/>
                <w:lang w:val="pt-BR" w:eastAsia="en-US" w:bidi="ar-SA"/>
              </w:rPr>
            </w:pPr>
            <w:r>
              <w:rPr>
                <w:rFonts w:eastAsia="Calibri" w:cs="" w:cstheme="minorBidi" w:eastAsiaTheme="minorHAnsi" w:ascii="Calibri" w:hAnsi="Calibri"/>
                <w:color w:val="auto"/>
                <w:kern w:val="0"/>
                <w:sz w:val="16"/>
                <w:szCs w:val="22"/>
                <w:lang w:val="pt-BR" w:eastAsia="en-US" w:bidi="ar-SA"/>
              </w:rPr>
            </w:r>
          </w:p>
          <w:p>
            <w:pPr>
              <w:pStyle w:val="Contedodatabela"/>
              <w:widowControl/>
              <w:suppressAutoHyphens w:val="true"/>
              <w:bidi w:val="0"/>
              <w:spacing w:lineRule="auto" w:line="240" w:before="0" w:after="20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16"/>
                <w:szCs w:val="22"/>
                <w:lang w:val="pt-BR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16"/>
                <w:szCs w:val="22"/>
                <w:lang w:val="pt-BR" w:eastAsia="en-US" w:bidi="ar-SA"/>
              </w:rPr>
              <w:t>TR | Edital</w:t>
            </w:r>
          </w:p>
          <w:p>
            <w:pPr>
              <w:pStyle w:val="Contedodatabela"/>
              <w:widowControl/>
              <w:suppressAutoHyphens w:val="true"/>
              <w:bidi w:val="0"/>
              <w:spacing w:lineRule="auto" w:line="240" w:before="0" w:after="200"/>
              <w:jc w:val="left"/>
              <w:rPr>
                <w:rFonts w:ascii="Calibri" w:hAnsi="Calibri" w:eastAsia="Calibri" w:cs="" w:asciiTheme="minorHAnsi" w:cstheme="minorBidi" w:eastAsiaTheme="minorHAnsi" w:hAnsiTheme="minorHAnsi"/>
                <w:color w:val="auto"/>
                <w:kern w:val="0"/>
                <w:sz w:val="16"/>
                <w:szCs w:val="22"/>
                <w:lang w:val="pt-BR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16"/>
                <w:szCs w:val="22"/>
                <w:lang w:val="pt-BR" w:eastAsia="en-US" w:bidi="ar-SA"/>
              </w:rPr>
              <w:t xml:space="preserve">☐ ☐ </w:t>
            </w:r>
            <w:r>
              <w:rPr>
                <w:rFonts w:eastAsia="Calibri" w:cs="" w:cstheme="minorBidi" w:eastAsiaTheme="minorHAnsi"/>
                <w:color w:val="auto"/>
                <w:kern w:val="0"/>
                <w:sz w:val="16"/>
                <w:szCs w:val="22"/>
                <w:lang w:val="pt-BR" w:eastAsia="en-US" w:bidi="ar-SA"/>
              </w:rPr>
              <w:t>Exclusivo</w:t>
              <w:br/>
              <w:t>ME/EPP/MEI</w:t>
              <w:br/>
              <w:br/>
              <w:t>☐ ☐ Consórcio</w:t>
              <w:br/>
              <w:br/>
              <w:t>☐ ☐ Cooperativa</w:t>
              <w:br/>
            </w:r>
          </w:p>
        </w:tc>
        <w:tc>
          <w:tcPr>
            <w:tcW w:w="1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dodatabela"/>
              <w:widowControl/>
              <w:spacing w:lineRule="auto" w:line="24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MS Gothic" w:ascii="MS Gothic" w:hAnsi="MS Gothic"/>
                <w:bCs/>
                <w:color w:val="000000"/>
                <w:sz w:val="16"/>
                <w:szCs w:val="16"/>
              </w:rPr>
              <w:t>☐</w:t>
            </w:r>
            <w:r>
              <w:rPr>
                <w:bCs/>
                <w:color w:val="000000"/>
                <w:sz w:val="16"/>
                <w:szCs w:val="16"/>
              </w:rPr>
              <w:t xml:space="preserve"> </w:t>
            </w:r>
            <w:r>
              <w:rPr>
                <w:bCs/>
                <w:color w:val="000000"/>
                <w:sz w:val="16"/>
                <w:szCs w:val="16"/>
              </w:rPr>
              <w:t>Demanda</w:t>
            </w:r>
          </w:p>
          <w:p>
            <w:pPr>
              <w:pStyle w:val="Contedodatabela"/>
              <w:widowControl/>
              <w:spacing w:lineRule="auto" w:line="24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MS Gothic" w:ascii="MS Gothic" w:hAnsi="MS Gothic"/>
                <w:bCs/>
                <w:color w:val="000000"/>
                <w:sz w:val="16"/>
                <w:szCs w:val="16"/>
              </w:rPr>
              <w:t>☐</w:t>
            </w:r>
            <w:r>
              <w:rPr>
                <w:bCs/>
                <w:color w:val="000000"/>
                <w:sz w:val="16"/>
                <w:szCs w:val="16"/>
              </w:rPr>
              <w:t xml:space="preserve"> </w:t>
            </w:r>
            <w:r>
              <w:rPr>
                <w:bCs/>
                <w:color w:val="000000"/>
                <w:sz w:val="16"/>
                <w:szCs w:val="16"/>
              </w:rPr>
              <w:t>TR</w:t>
            </w:r>
          </w:p>
          <w:p>
            <w:pPr>
              <w:pStyle w:val="Contedodatabela"/>
              <w:widowControl/>
              <w:spacing w:lineRule="auto" w:line="24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MS Gothic" w:ascii="MS Gothic" w:hAnsi="MS Gothic"/>
                <w:bCs/>
                <w:color w:val="000000"/>
                <w:sz w:val="16"/>
                <w:szCs w:val="16"/>
              </w:rPr>
              <w:t>☐</w:t>
            </w:r>
            <w:r>
              <w:rPr>
                <w:bCs/>
                <w:color w:val="000000"/>
                <w:sz w:val="16"/>
                <w:szCs w:val="16"/>
              </w:rPr>
              <w:t xml:space="preserve"> </w:t>
            </w:r>
            <w:r>
              <w:rPr>
                <w:bCs/>
                <w:color w:val="000000"/>
                <w:sz w:val="16"/>
                <w:szCs w:val="16"/>
              </w:rPr>
              <w:t>Minuta</w:t>
            </w:r>
          </w:p>
          <w:p>
            <w:pPr>
              <w:pStyle w:val="Contedodatabela"/>
              <w:widowControl/>
              <w:spacing w:lineRule="auto" w:line="24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MS Gothic" w:ascii="MS Gothic" w:hAnsi="MS Gothic"/>
                <w:bCs/>
                <w:color w:val="000000"/>
                <w:sz w:val="16"/>
                <w:szCs w:val="16"/>
              </w:rPr>
              <w:t>☐</w:t>
            </w:r>
            <w:r>
              <w:rPr>
                <w:bCs/>
                <w:color w:val="000000"/>
                <w:sz w:val="16"/>
                <w:szCs w:val="16"/>
              </w:rPr>
              <w:t xml:space="preserve"> </w:t>
            </w:r>
            <w:r>
              <w:rPr>
                <w:bCs/>
                <w:color w:val="000000"/>
                <w:sz w:val="16"/>
                <w:szCs w:val="16"/>
              </w:rPr>
              <w:t>Objeto</w:t>
            </w:r>
          </w:p>
          <w:p>
            <w:pPr>
              <w:pStyle w:val="Contedodatabela"/>
              <w:widowControl/>
              <w:spacing w:lineRule="auto" w:line="240" w:before="0" w:after="20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MS Gothic" w:ascii="MS Gothic" w:hAnsi="MS Gothic"/>
                <w:bCs/>
                <w:color w:val="000000"/>
                <w:sz w:val="16"/>
                <w:szCs w:val="16"/>
              </w:rPr>
              <w:t>☐</w:t>
            </w:r>
            <w:r>
              <w:rPr>
                <w:bCs/>
                <w:color w:val="000000"/>
                <w:sz w:val="16"/>
                <w:szCs w:val="16"/>
              </w:rPr>
              <w:t xml:space="preserve"> </w:t>
            </w:r>
            <w:r>
              <w:rPr>
                <w:bCs/>
                <w:color w:val="000000"/>
                <w:sz w:val="16"/>
                <w:szCs w:val="16"/>
              </w:rPr>
              <w:t>Grade</w:t>
            </w:r>
          </w:p>
        </w:tc>
        <w:tc>
          <w:tcPr>
            <w:tcW w:w="2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dodatabela"/>
              <w:widowControl/>
              <w:spacing w:lineRule="auto" w:line="240"/>
              <w:ind w:right="113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MS Gothic" w:ascii="MS Gothic" w:hAnsi="MS Gothic"/>
                <w:bCs/>
                <w:color w:val="000000"/>
                <w:sz w:val="16"/>
                <w:szCs w:val="16"/>
              </w:rPr>
              <w:t>☐</w:t>
            </w:r>
            <w:r>
              <w:rPr>
                <w:bCs/>
                <w:color w:val="000000"/>
                <w:sz w:val="16"/>
                <w:szCs w:val="16"/>
              </w:rPr>
              <w:t xml:space="preserve"> </w:t>
            </w:r>
            <w:r>
              <w:rPr>
                <w:bCs/>
                <w:color w:val="000000"/>
                <w:sz w:val="16"/>
                <w:szCs w:val="16"/>
              </w:rPr>
              <w:t>Reserva</w:t>
            </w:r>
          </w:p>
          <w:p>
            <w:pPr>
              <w:pStyle w:val="Contedodatabela"/>
              <w:widowControl/>
              <w:spacing w:lineRule="auto" w:line="240"/>
              <w:ind w:right="113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MS Gothic" w:ascii="MS Gothic" w:hAnsi="MS Gothic"/>
                <w:bCs/>
                <w:color w:val="000000"/>
                <w:sz w:val="16"/>
                <w:szCs w:val="16"/>
              </w:rPr>
              <w:t>☐</w:t>
            </w:r>
            <w:r>
              <w:rPr>
                <w:bCs/>
                <w:color w:val="000000"/>
                <w:sz w:val="16"/>
                <w:szCs w:val="16"/>
              </w:rPr>
              <w:t xml:space="preserve"> </w:t>
            </w:r>
            <w:r>
              <w:rPr>
                <w:bCs/>
                <w:color w:val="000000"/>
                <w:sz w:val="16"/>
                <w:szCs w:val="16"/>
              </w:rPr>
              <w:t>Disputa</w:t>
            </w:r>
          </w:p>
          <w:p>
            <w:pPr>
              <w:pStyle w:val="Contedodatabela"/>
              <w:widowControl/>
              <w:spacing w:lineRule="auto" w:line="240"/>
              <w:ind w:right="113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MS Gothic" w:ascii="MS Gothic" w:hAnsi="MS Gothic"/>
                <w:bCs/>
                <w:color w:val="000000"/>
                <w:sz w:val="16"/>
                <w:szCs w:val="16"/>
              </w:rPr>
              <w:t>☐</w:t>
            </w:r>
            <w:r>
              <w:rPr>
                <w:bCs/>
                <w:color w:val="000000"/>
                <w:sz w:val="16"/>
                <w:szCs w:val="16"/>
              </w:rPr>
              <w:t xml:space="preserve"> </w:t>
            </w:r>
            <w:r>
              <w:rPr>
                <w:bCs/>
                <w:color w:val="000000"/>
                <w:sz w:val="16"/>
                <w:szCs w:val="16"/>
              </w:rPr>
              <w:t>Conferência</w:t>
            </w:r>
          </w:p>
          <w:p>
            <w:pPr>
              <w:pStyle w:val="Contedodatabela"/>
              <w:widowControl/>
              <w:spacing w:lineRule="auto" w:line="240"/>
              <w:ind w:right="113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MS Gothic" w:ascii="MS Gothic" w:hAnsi="MS Gothic"/>
                <w:bCs/>
                <w:color w:val="000000"/>
                <w:sz w:val="16"/>
                <w:szCs w:val="16"/>
              </w:rPr>
              <w:t>☐</w:t>
            </w:r>
            <w:r>
              <w:rPr>
                <w:bCs/>
                <w:color w:val="000000"/>
                <w:sz w:val="16"/>
                <w:szCs w:val="16"/>
              </w:rPr>
              <w:t xml:space="preserve"> </w:t>
            </w:r>
            <w:r>
              <w:rPr>
                <w:bCs/>
                <w:color w:val="000000"/>
                <w:sz w:val="16"/>
                <w:szCs w:val="16"/>
              </w:rPr>
              <w:t>Adequação Reserva</w:t>
            </w:r>
          </w:p>
          <w:p>
            <w:pPr>
              <w:pStyle w:val="Contedodatabela"/>
              <w:widowControl/>
              <w:spacing w:lineRule="auto" w:line="240"/>
              <w:ind w:right="113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MS Gothic" w:ascii="MS Gothic" w:hAnsi="MS Gothic"/>
                <w:bCs/>
                <w:color w:val="000000"/>
                <w:sz w:val="16"/>
                <w:szCs w:val="16"/>
              </w:rPr>
              <w:t>☐</w:t>
            </w:r>
            <w:r>
              <w:rPr>
                <w:bCs/>
                <w:color w:val="000000"/>
                <w:sz w:val="16"/>
                <w:szCs w:val="16"/>
              </w:rPr>
              <w:t xml:space="preserve"> </w:t>
            </w:r>
            <w:r>
              <w:rPr>
                <w:bCs/>
                <w:color w:val="000000"/>
                <w:sz w:val="16"/>
                <w:szCs w:val="16"/>
              </w:rPr>
              <w:t>Conferência</w:t>
            </w:r>
          </w:p>
          <w:p>
            <w:pPr>
              <w:pStyle w:val="Contedodatabela"/>
              <w:widowControl/>
              <w:spacing w:lineRule="auto" w:line="240"/>
              <w:ind w:right="113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MS Gothic" w:ascii="MS Gothic" w:hAnsi="MS Gothic"/>
                <w:color w:val="000000"/>
                <w:sz w:val="16"/>
                <w:szCs w:val="16"/>
              </w:rPr>
              <w:t>☐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Liberação compra</w:t>
            </w:r>
          </w:p>
          <w:p>
            <w:pPr>
              <w:pStyle w:val="Contedodatabela"/>
              <w:widowControl/>
              <w:spacing w:lineRule="auto" w:line="240"/>
              <w:ind w:right="113"/>
              <w:rPr>
                <w:color w:val="000000"/>
                <w:sz w:val="16"/>
                <w:szCs w:val="16"/>
              </w:rPr>
            </w:pPr>
            <w:r>
              <w:rPr>
                <w:rFonts w:eastAsia="MS Gothic" w:ascii="MS Gothic" w:hAnsi="MS Gothic"/>
                <w:color w:val="000000"/>
                <w:sz w:val="16"/>
                <w:szCs w:val="16"/>
              </w:rPr>
              <w:t>☐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Certidões</w:t>
            </w:r>
          </w:p>
          <w:p>
            <w:pPr>
              <w:pStyle w:val="Contedodatabela"/>
              <w:widowControl/>
              <w:spacing w:lineRule="auto" w:line="240" w:before="0" w:after="200"/>
              <w:ind w:right="113"/>
              <w:rPr>
                <w:bCs/>
                <w:color w:val="000000"/>
                <w:sz w:val="16"/>
                <w:szCs w:val="16"/>
              </w:rPr>
            </w:pPr>
            <w:r>
              <w:rPr>
                <w:rFonts w:eastAsia="MS Gothic" w:ascii="MS Gothic" w:hAnsi="MS Gothic"/>
                <w:bCs/>
                <w:color w:val="000000"/>
                <w:sz w:val="16"/>
                <w:szCs w:val="16"/>
              </w:rPr>
              <w:t>☐</w:t>
            </w:r>
            <w:r>
              <w:rPr>
                <w:bCs/>
                <w:color w:val="000000"/>
                <w:sz w:val="16"/>
                <w:szCs w:val="16"/>
              </w:rPr>
              <w:t xml:space="preserve"> </w:t>
            </w:r>
            <w:r>
              <w:rPr>
                <w:bCs/>
                <w:color w:val="000000"/>
                <w:sz w:val="16"/>
                <w:szCs w:val="16"/>
              </w:rPr>
              <w:t>Empenho</w:t>
            </w:r>
          </w:p>
        </w:tc>
      </w:tr>
    </w:tbl>
    <w:p>
      <w:pPr>
        <w:pStyle w:val="BodyText"/>
        <w:spacing w:lineRule="auto" w:line="240"/>
        <w:rPr>
          <w:rFonts w:ascii="CenturyGothic,Bold" w:hAnsi="CenturyGothic,Bold" w:cs="CenturyGothic,Bold"/>
          <w:b/>
          <w:bCs/>
          <w:sz w:val="16"/>
          <w:szCs w:val="16"/>
        </w:rPr>
      </w:pPr>
      <w:r>
        <w:rPr>
          <w:rFonts w:cs="CenturyGothic,Bold" w:ascii="CenturyGothic,Bold" w:hAnsi="CenturyGothic,Bold"/>
          <w:b/>
          <w:bCs/>
          <w:sz w:val="16"/>
          <w:szCs w:val="16"/>
        </w:rPr>
        <w:br/>
        <w:br/>
        <w:br/>
        <w:br/>
        <w:br/>
      </w:r>
    </w:p>
    <w:tbl>
      <w:tblPr>
        <w:tblW w:w="11199" w:type="dxa"/>
        <w:jc w:val="left"/>
        <w:tblInd w:w="10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noHBand="0" w:noVBand="1" w:firstColumn="1" w:lastRow="0" w:lastColumn="0" w:firstRow="1"/>
      </w:tblPr>
      <w:tblGrid>
        <w:gridCol w:w="1079"/>
        <w:gridCol w:w="1351"/>
        <w:gridCol w:w="450"/>
        <w:gridCol w:w="495"/>
        <w:gridCol w:w="854"/>
        <w:gridCol w:w="4157"/>
        <w:gridCol w:w="1172"/>
        <w:gridCol w:w="925"/>
        <w:gridCol w:w="358"/>
        <w:gridCol w:w="357"/>
      </w:tblGrid>
      <w:tr>
        <w:trPr/>
        <w:tc>
          <w:tcPr>
            <w:tcW w:w="1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dodatabela"/>
              <w:widowControl/>
              <w:spacing w:lineRule="auto" w:line="288" w:before="0" w:after="0"/>
              <w:jc w:val="center"/>
              <w:rPr>
                <w:sz w:val="16"/>
                <w:szCs w:val="16"/>
              </w:rPr>
            </w:pPr>
            <w:r>
              <w:rPr>
                <w:rFonts w:cs="CenturyGothic,Bold"/>
                <w:b/>
                <w:bCs/>
                <w:color w:val="000000"/>
                <w:sz w:val="16"/>
                <w:szCs w:val="16"/>
              </w:rPr>
              <w:t>Demanda</w:t>
            </w:r>
          </w:p>
        </w:tc>
        <w:tc>
          <w:tcPr>
            <w:tcW w:w="1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dodatabela"/>
              <w:widowControl/>
              <w:spacing w:lineRule="auto" w:line="288" w:before="0" w:after="0"/>
              <w:jc w:val="center"/>
              <w:rPr>
                <w:sz w:val="16"/>
                <w:szCs w:val="16"/>
              </w:rPr>
            </w:pPr>
            <w:r>
              <w:rPr>
                <w:rFonts w:cs="CenturyGothic,Bold"/>
                <w:b/>
                <w:bCs/>
                <w:color w:val="000000"/>
                <w:sz w:val="16"/>
                <w:szCs w:val="16"/>
              </w:rPr>
              <w:t xml:space="preserve">Centro Gerencial </w:t>
              <w:br/>
              <w:t>Grupo Orçamentário</w:t>
            </w:r>
          </w:p>
        </w:tc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dodatabela"/>
              <w:widowControl/>
              <w:spacing w:lineRule="auto" w:line="288" w:before="0" w:after="0"/>
              <w:jc w:val="center"/>
              <w:rPr>
                <w:sz w:val="16"/>
                <w:szCs w:val="16"/>
              </w:rPr>
            </w:pPr>
            <w:r>
              <w:rPr>
                <w:rFonts w:cs="CenturyGothic,Bold"/>
                <w:b/>
                <w:bCs/>
                <w:color w:val="000000"/>
                <w:sz w:val="16"/>
                <w:szCs w:val="16"/>
              </w:rPr>
              <w:t>#</w:t>
            </w:r>
          </w:p>
        </w:tc>
        <w:tc>
          <w:tcPr>
            <w:tcW w:w="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dodatabela"/>
              <w:widowControl/>
              <w:spacing w:lineRule="auto" w:line="288" w:before="0" w:after="0"/>
              <w:jc w:val="center"/>
              <w:rPr>
                <w:sz w:val="16"/>
                <w:szCs w:val="16"/>
              </w:rPr>
            </w:pPr>
            <w:r>
              <w:rPr>
                <w:rFonts w:cs="CenturyGothic,Bold"/>
                <w:b/>
                <w:bCs/>
                <w:color w:val="000000"/>
                <w:sz w:val="16"/>
                <w:szCs w:val="16"/>
              </w:rPr>
              <w:t>Qtd</w:t>
            </w:r>
          </w:p>
        </w:tc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dodatabela"/>
              <w:widowControl/>
              <w:spacing w:lineRule="auto" w:line="288" w:before="0" w:after="0"/>
              <w:jc w:val="center"/>
              <w:rPr>
                <w:sz w:val="16"/>
                <w:szCs w:val="16"/>
              </w:rPr>
            </w:pPr>
            <w:r>
              <w:rPr>
                <w:rFonts w:cs="CenturyGothic,Bold"/>
                <w:b/>
                <w:bCs/>
                <w:color w:val="000000"/>
                <w:sz w:val="16"/>
                <w:szCs w:val="16"/>
              </w:rPr>
              <w:t>Código Compras GOV</w:t>
            </w:r>
          </w:p>
        </w:tc>
        <w:tc>
          <w:tcPr>
            <w:tcW w:w="4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dodatabela"/>
              <w:widowControl/>
              <w:spacing w:lineRule="auto" w:line="288" w:before="0" w:after="0"/>
              <w:jc w:val="center"/>
              <w:rPr>
                <w:sz w:val="16"/>
                <w:szCs w:val="16"/>
              </w:rPr>
            </w:pPr>
            <w:r>
              <w:rPr>
                <w:rFonts w:cs="CenturyGothic,Bold"/>
                <w:b/>
                <w:bCs/>
                <w:color w:val="000000"/>
                <w:sz w:val="16"/>
                <w:szCs w:val="16"/>
              </w:rPr>
              <w:t>Descrição</w:t>
            </w:r>
          </w:p>
        </w:tc>
        <w:tc>
          <w:tcPr>
            <w:tcW w:w="11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Contedodatabela"/>
              <w:widowControl/>
              <w:spacing w:lineRule="auto" w:line="288" w:before="0" w:after="0"/>
              <w:jc w:val="center"/>
              <w:rPr>
                <w:sz w:val="16"/>
                <w:szCs w:val="16"/>
              </w:rPr>
            </w:pPr>
            <w:r>
              <w:rPr>
                <w:rFonts w:cs="CenturyGothic,Bold"/>
                <w:b/>
                <w:bCs/>
                <w:color w:val="000000"/>
                <w:sz w:val="16"/>
                <w:szCs w:val="16"/>
              </w:rPr>
              <w:t>Valor unitário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dodatabela"/>
              <w:widowControl/>
              <w:spacing w:lineRule="auto" w:line="288" w:before="0" w:after="0"/>
              <w:jc w:val="center"/>
              <w:rPr>
                <w:sz w:val="16"/>
                <w:szCs w:val="16"/>
              </w:rPr>
            </w:pPr>
            <w:r>
              <w:rPr>
                <w:rFonts w:cs="CenturyGothic,Bold"/>
                <w:b/>
                <w:bCs/>
                <w:color w:val="000000"/>
                <w:sz w:val="16"/>
                <w:szCs w:val="16"/>
              </w:rPr>
              <w:t>Item de despesa</w:t>
            </w:r>
          </w:p>
        </w:tc>
        <w:tc>
          <w:tcPr>
            <w:tcW w:w="3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dodatabela"/>
              <w:widowControl/>
              <w:spacing w:lineRule="auto" w:line="288" w:before="0" w:after="0"/>
              <w:jc w:val="center"/>
              <w:rPr>
                <w:sz w:val="16"/>
                <w:szCs w:val="16"/>
              </w:rPr>
            </w:pPr>
            <w:r>
              <w:rPr>
                <w:rFonts w:cs="CenturyGothic,Bold"/>
                <w:b/>
                <w:bCs/>
                <w:color w:val="000000"/>
                <w:sz w:val="16"/>
                <w:szCs w:val="16"/>
              </w:rPr>
              <w:t>TRP</w:t>
            </w:r>
          </w:p>
        </w:tc>
        <w:tc>
          <w:tcPr>
            <w:tcW w:w="3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dodatabela"/>
              <w:widowControl/>
              <w:spacing w:lineRule="auto" w:line="288" w:before="0" w:after="0"/>
              <w:jc w:val="center"/>
              <w:rPr>
                <w:sz w:val="16"/>
                <w:szCs w:val="16"/>
              </w:rPr>
            </w:pPr>
            <w:r>
              <w:rPr>
                <w:rFonts w:cs="CenturyGothic,Bold"/>
                <w:b/>
                <w:bCs/>
                <w:color w:val="000000"/>
                <w:sz w:val="16"/>
                <w:szCs w:val="16"/>
              </w:rPr>
              <w:t>TR</w:t>
            </w:r>
          </w:p>
        </w:tc>
      </w:tr>
      <w:tr>
        <w:trPr>
          <w:trHeight w:val="387" w:hRule="atLeast"/>
        </w:trPr>
        <w:tc>
          <w:tcPr>
            <w:tcW w:w="11198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TableContents"/>
              <w:spacing w:before="0" w:after="200"/>
              <w:rPr>
                <w:lang w:val="en-US"/>
              </w:rPr>
            </w:pPr>
            <w:r>
              <w:rPr>
                <w:color w:val="2A6099"/>
                <w:sz w:val="12"/>
                <w:szCs w:val="12"/>
                <w:lang w:val="en-US"/>
              </w:rPr>
              <w:t>{%tr for item in itens %}</w:t>
            </w:r>
          </w:p>
        </w:tc>
      </w:tr>
      <w:tr>
        <w:trPr/>
        <w:tc>
          <w:tcPr>
            <w:tcW w:w="107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dodatabela"/>
              <w:widowControl/>
              <w:spacing w:lineRule="auto" w:line="288" w:before="0" w:after="0"/>
              <w:rPr>
                <w:sz w:val="16"/>
                <w:szCs w:val="16"/>
              </w:rPr>
            </w:pPr>
            <w:r>
              <w:rPr>
                <w:rFonts w:cs="CenturyGothic,Bold"/>
                <w:bCs/>
                <w:sz w:val="16"/>
                <w:szCs w:val="16"/>
              </w:rPr>
              <w:t>{{ item.numero_demanda }}</w:t>
            </w:r>
          </w:p>
        </w:tc>
        <w:tc>
          <w:tcPr>
            <w:tcW w:w="135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dodatabela"/>
              <w:widowControl/>
              <w:spacing w:lineRule="auto" w:line="288" w:before="0" w:after="0"/>
              <w:jc w:val="center"/>
              <w:rPr>
                <w:sz w:val="16"/>
                <w:szCs w:val="16"/>
              </w:rPr>
            </w:pPr>
            <w:r>
              <w:rPr>
                <w:rFonts w:cs="CenturyGothic,Bold"/>
                <w:bCs/>
                <w:sz w:val="16"/>
                <w:szCs w:val="16"/>
              </w:rPr>
              <w:t>{{ item.centro_gerencial }}</w:t>
              <w:br/>
              <w:t>{{ item.grupo_orcamentario }}</w:t>
            </w:r>
          </w:p>
        </w:tc>
        <w:tc>
          <w:tcPr>
            <w:tcW w:w="4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dodatabela"/>
              <w:widowControl/>
              <w:spacing w:lineRule="auto" w:line="288" w:before="0" w:after="0"/>
              <w:jc w:val="center"/>
              <w:rPr>
                <w:sz w:val="16"/>
                <w:szCs w:val="16"/>
              </w:rPr>
            </w:pPr>
            <w:r>
              <w:rPr>
                <w:rFonts w:cs="CenturyGothic,Bold"/>
                <w:bCs/>
                <w:sz w:val="16"/>
                <w:szCs w:val="16"/>
              </w:rPr>
              <w:t>{{ item.numero_ordem }}</w:t>
            </w:r>
          </w:p>
        </w:tc>
        <w:tc>
          <w:tcPr>
            <w:tcW w:w="4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rFonts w:cs="CenturyGothic,Bold"/>
                <w:sz w:val="16"/>
                <w:szCs w:val="16"/>
              </w:rPr>
              <w:t xml:space="preserve">{{ </w:t>
            </w:r>
            <w:r>
              <w:rPr>
                <w:rFonts w:cs="CenturyGothic,Bold"/>
                <w:bCs/>
                <w:sz w:val="16"/>
                <w:szCs w:val="16"/>
              </w:rPr>
              <w:t>item.</w:t>
            </w:r>
            <w:r>
              <w:rPr>
                <w:rFonts w:cs="CenturyGothic,Bold"/>
                <w:sz w:val="16"/>
                <w:szCs w:val="16"/>
              </w:rPr>
              <w:t>quantidade }}</w:t>
            </w:r>
          </w:p>
        </w:tc>
        <w:tc>
          <w:tcPr>
            <w:tcW w:w="8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dodatabela"/>
              <w:widowControl/>
              <w:spacing w:lineRule="auto" w:line="288" w:before="0" w:after="0"/>
              <w:jc w:val="center"/>
              <w:rPr>
                <w:sz w:val="16"/>
                <w:szCs w:val="16"/>
              </w:rPr>
            </w:pPr>
            <w:r>
              <w:rPr>
                <w:rFonts w:cs="CenturyGothic,Bold"/>
                <w:bCs/>
                <w:sz w:val="16"/>
                <w:szCs w:val="16"/>
              </w:rPr>
              <w:t>{{ item.codigo_comprasgov }}</w:t>
            </w:r>
          </w:p>
        </w:tc>
        <w:tc>
          <w:tcPr>
            <w:tcW w:w="415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Contedodatabela"/>
              <w:widowControl/>
              <w:spacing w:lineRule="auto" w:line="288" w:before="0" w:after="0"/>
              <w:rPr>
                <w:sz w:val="16"/>
                <w:szCs w:val="16"/>
              </w:rPr>
            </w:pPr>
            <w:r>
              <w:rPr>
                <w:rFonts w:cs="CenturyGothic,Bold"/>
                <w:bCs/>
                <w:sz w:val="16"/>
                <w:szCs w:val="16"/>
              </w:rPr>
              <w:t xml:space="preserve"> </w:t>
            </w:r>
            <w:r>
              <w:rPr>
                <w:rFonts w:cs="CenturyGothic,Bold"/>
                <w:bCs/>
                <w:sz w:val="16"/>
                <w:szCs w:val="16"/>
              </w:rPr>
              <w:t>{{ item.descricao }}</w:t>
            </w:r>
          </w:p>
        </w:tc>
        <w:tc>
          <w:tcPr>
            <w:tcW w:w="1172" w:type="dxa"/>
            <w:tcBorders>
              <w:left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Contedodatabela"/>
              <w:widowControl/>
              <w:spacing w:lineRule="auto" w:line="288" w:before="0" w:after="0"/>
              <w:jc w:val="center"/>
              <w:rPr>
                <w:sz w:val="16"/>
                <w:szCs w:val="16"/>
              </w:rPr>
            </w:pPr>
            <w:r>
              <w:rPr>
                <w:rFonts w:cs="CenturyGothic,Bold"/>
                <w:bCs/>
                <w:sz w:val="16"/>
                <w:szCs w:val="16"/>
              </w:rPr>
              <w:t>{{ item.valor_unitario_previsto</w:t>
            </w:r>
            <w:r>
              <w:rPr>
                <w:rFonts w:cs="CenturyGothic,Bold"/>
                <w:bCs/>
                <w:sz w:val="16"/>
                <w:szCs w:val="16"/>
              </w:rPr>
              <w:t>_brl</w:t>
            </w:r>
            <w:r>
              <w:rPr>
                <w:rFonts w:cs="CenturyGothic,Bold"/>
                <w:bCs/>
                <w:sz w:val="16"/>
                <w:szCs w:val="16"/>
              </w:rPr>
              <w:t xml:space="preserve"> }}</w:t>
            </w:r>
          </w:p>
        </w:tc>
        <w:tc>
          <w:tcPr>
            <w:tcW w:w="9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center"/>
          </w:tcPr>
          <w:p>
            <w:pPr>
              <w:pStyle w:val="Contedodatabela"/>
              <w:widowControl/>
              <w:spacing w:lineRule="auto" w:line="288" w:before="0" w:after="0"/>
              <w:jc w:val="center"/>
              <w:rPr>
                <w:sz w:val="16"/>
                <w:szCs w:val="16"/>
              </w:rPr>
            </w:pPr>
            <w:r>
              <w:rPr>
                <w:rFonts w:cs="CenturyGothic,Bold"/>
                <w:bCs/>
                <w:sz w:val="16"/>
                <w:szCs w:val="16"/>
              </w:rPr>
              <w:t>{{ item.item_despesa }}</w:t>
            </w:r>
          </w:p>
        </w:tc>
        <w:tc>
          <w:tcPr>
            <w:tcW w:w="35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dodatabela"/>
              <w:spacing w:before="0" w:after="2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dodatabela"/>
              <w:widowControl/>
              <w:spacing w:lineRule="auto" w:line="288" w:before="0" w:after="0"/>
              <w:rPr>
                <w:rFonts w:cs="CenturyGothic,Bold"/>
                <w:bCs/>
                <w:sz w:val="16"/>
                <w:szCs w:val="16"/>
              </w:rPr>
            </w:pPr>
            <w:r>
              <w:rPr>
                <w:rFonts w:cs="CenturyGothic,Bold"/>
                <w:bCs/>
                <w:sz w:val="16"/>
                <w:szCs w:val="16"/>
              </w:rPr>
            </w:r>
          </w:p>
        </w:tc>
      </w:tr>
      <w:tr>
        <w:trPr/>
        <w:tc>
          <w:tcPr>
            <w:tcW w:w="11198" w:type="dxa"/>
            <w:gridSpan w:val="10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color w:val="2A6099"/>
                <w:sz w:val="12"/>
                <w:szCs w:val="12"/>
              </w:rPr>
              <w:t>{%tr endfor %}</w:t>
            </w:r>
          </w:p>
        </w:tc>
      </w:tr>
    </w:tbl>
    <w:p>
      <w:pPr>
        <w:pStyle w:val="Normal"/>
        <w:spacing w:lineRule="auto" w:line="240" w:before="0" w:after="0"/>
        <w:rPr>
          <w:rFonts w:ascii="CenturyGothic,Bold" w:hAnsi="CenturyGothic,Bold" w:cs="CenturyGothic,Bold"/>
          <w:b/>
          <w:bCs/>
          <w:sz w:val="16"/>
          <w:szCs w:val="16"/>
        </w:rPr>
      </w:pPr>
      <w:r>
        <w:rPr>
          <w:rFonts w:cs="CenturyGothic,Bold" w:ascii="CenturyGothic,Bold" w:hAnsi="CenturyGothic,Bold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rPr>
          <w:rFonts w:ascii="CenturyGothic,Bold" w:hAnsi="CenturyGothic,Bold" w:cs="CenturyGothic,Bold"/>
          <w:b/>
          <w:bCs/>
          <w:sz w:val="16"/>
          <w:szCs w:val="16"/>
        </w:rPr>
      </w:pPr>
      <w:r>
        <w:rPr>
          <w:rFonts w:cs="CenturyGothic,Bold" w:ascii="CenturyGothic,Bold" w:hAnsi="CenturyGothic,Bold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rPr>
          <w:rFonts w:ascii="CenturyGothic,Bold" w:hAnsi="CenturyGothic,Bold" w:cs="CenturyGothic,Bold"/>
          <w:b/>
          <w:bCs/>
          <w:sz w:val="16"/>
          <w:szCs w:val="16"/>
        </w:rPr>
      </w:pPr>
      <w:r>
        <w:rPr>
          <w:rFonts w:cs="CenturyGothic,Bold" w:ascii="CenturyGothic,Bold" w:hAnsi="CenturyGothic,Bold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rPr>
          <w:rFonts w:ascii="CenturyGothic,Bold" w:hAnsi="CenturyGothic,Bold" w:cs="CenturyGothic,Bold"/>
          <w:b/>
          <w:bCs/>
          <w:sz w:val="16"/>
          <w:szCs w:val="16"/>
        </w:rPr>
      </w:pPr>
      <w:r>
        <w:rPr>
          <w:rFonts w:cs="CenturyGothic,Bold" w:ascii="CenturyGothic,Bold" w:hAnsi="CenturyGothic,Bold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rPr>
          <w:rFonts w:ascii="CenturyGothic,Bold" w:hAnsi="CenturyGothic,Bold" w:cs="CenturyGothic,Bold"/>
          <w:b/>
          <w:bCs/>
          <w:sz w:val="16"/>
          <w:szCs w:val="16"/>
        </w:rPr>
      </w:pPr>
      <w:r>
        <w:rPr>
          <w:rFonts w:cs="CenturyGothic,Bold" w:ascii="CenturyGothic,Bold" w:hAnsi="CenturyGothic,Bold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rPr>
          <w:rFonts w:ascii="CenturyGothic,Bold" w:hAnsi="CenturyGothic,Bold" w:cs="CenturyGothic,Bold"/>
          <w:b/>
          <w:bCs/>
          <w:sz w:val="16"/>
          <w:szCs w:val="16"/>
        </w:rPr>
      </w:pPr>
      <w:r>
        <w:rPr>
          <w:rFonts w:cs="CenturyGothic,Bold" w:ascii="CenturyGothic,Bold" w:hAnsi="CenturyGothic,Bold"/>
          <w:b/>
          <w:bCs/>
          <w:sz w:val="16"/>
          <w:szCs w:val="16"/>
        </w:rPr>
      </w:r>
    </w:p>
    <w:sectPr>
      <w:type w:val="nextPage"/>
      <w:pgSz w:w="11906" w:h="16838"/>
      <w:pgMar w:left="284" w:right="284" w:gutter="0" w:header="0" w:top="567" w:footer="0" w:bottom="567"/>
      <w:pgNumType w:fmt="decimal"/>
      <w:formProt w:val="false"/>
      <w:textDirection w:val="lrTb"/>
      <w:docGrid w:type="default" w:linePitch="360" w:charSpace="8192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Kleber" w:date="2024-08-14T08:02:00Z" w:initials="K">
    <w:p>
      <w:pPr>
        <w:overflowPunct w:val="false"/>
        <w:spacing w:lineRule="auto" w:line="240" w:before="0" w:after="0"/>
        <w:rPr/>
      </w:pPr>
      <w:r>
        <w:rPr>
          <w:rFonts w:eastAsia="DejaVu Sans" w:cs="DejaVu Sans" w:ascii="Liberation Serif" w:hAnsi="Liberation Serif"/>
          <w:sz w:val="24"/>
          <w:szCs w:val="24"/>
          <w:lang w:val="en-US" w:eastAsia="en-US" w:bidi="en-US"/>
        </w:rPr>
        <w:t xml:space="preserve">Dentro de cada nível estão elencadas as documentações que foram apresentadas pela empresa. Dessa forma, somente será(ão) dispensada(s) a(s) certidão(ões) apresentada(s) e que esteja(m) válida(s) no momento da sessão pública, quando for o caso. </w:t>
      </w:r>
    </w:p>
  </w:comment>
  <w:comment w:id="1" w:author="Kleber" w:date="2025-06-18T11:03:00Z" w:initials="K">
    <w:p>
      <w:pPr>
        <w:overflowPunct w:val="false"/>
        <w:spacing w:lineRule="auto" w:line="240" w:before="0" w:after="0"/>
        <w:rPr/>
      </w:pPr>
      <w:r>
        <w:rPr>
          <w:rFonts w:eastAsia="DejaVu Sans" w:cs="DejaVu Sans" w:ascii="Liberation Serif" w:hAnsi="Liberation Serif"/>
          <w:sz w:val="24"/>
          <w:szCs w:val="24"/>
          <w:lang w:val="en-US" w:eastAsia="en-US" w:bidi="en-US"/>
        </w:rPr>
        <w:t xml:space="preserve">O sócio poderá ser tanto um CPF quanto um CNPJ. 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enturyGothic">
    <w:altName w:val="Bold"/>
    <w:charset w:val="01"/>
    <w:family w:val="swiss"/>
    <w:pitch w:val="variable"/>
  </w:font>
  <w:font w:name="CenturyGothic">
    <w:charset w:val="01"/>
    <w:family w:val="roman"/>
    <w:pitch w:val="variable"/>
  </w:font>
  <w:font w:name="Arial">
    <w:altName w:val="sans-serif"/>
    <w:charset w:val="01"/>
    <w:family w:val="swiss"/>
    <w:pitch w:val="variable"/>
  </w:font>
  <w:font w:name="Calibri">
    <w:charset w:val="01"/>
    <w:family w:val="roman"/>
    <w:pitch w:val="variable"/>
  </w:font>
  <w:font w:name="MS Gothic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Calibri" w:cs="Arial" w:eastAsia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Calibri" w:cs="Arial" w:eastAsia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704c99"/>
    <w:rPr>
      <w:rFonts w:ascii="Tahoma" w:hAnsi="Tahoma" w:cs="Tahoma"/>
      <w:sz w:val="16"/>
      <w:szCs w:val="16"/>
    </w:rPr>
  </w:style>
  <w:style w:type="character" w:styleId="CabealhoChar" w:customStyle="1">
    <w:name w:val="Cabeçalho Char"/>
    <w:basedOn w:val="DefaultParagraphFont"/>
    <w:link w:val="Header"/>
    <w:uiPriority w:val="99"/>
    <w:qFormat/>
    <w:rsid w:val="00b35795"/>
    <w:rPr/>
  </w:style>
  <w:style w:type="character" w:styleId="RodapChar" w:customStyle="1">
    <w:name w:val="Rodapé Char"/>
    <w:basedOn w:val="DefaultParagraphFont"/>
    <w:link w:val="Footer"/>
    <w:uiPriority w:val="99"/>
    <w:qFormat/>
    <w:rsid w:val="00b35795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df3821"/>
    <w:rPr>
      <w:sz w:val="16"/>
      <w:szCs w:val="16"/>
    </w:rPr>
  </w:style>
  <w:style w:type="character" w:styleId="TextodecomentrioChar" w:customStyle="1">
    <w:name w:val="Texto de comentário Char"/>
    <w:basedOn w:val="DefaultParagraphFont"/>
    <w:link w:val="CommentText"/>
    <w:uiPriority w:val="99"/>
    <w:semiHidden/>
    <w:qFormat/>
    <w:rsid w:val="00df3821"/>
    <w:rPr>
      <w:sz w:val="20"/>
      <w:szCs w:val="20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de16af"/>
    <w:rPr>
      <w:b/>
      <w:bCs/>
      <w:sz w:val="20"/>
      <w:szCs w:val="20"/>
    </w:rPr>
  </w:style>
  <w:style w:type="character" w:styleId="CorpodetextoChar" w:customStyle="1">
    <w:name w:val="Corpo de texto Char"/>
    <w:basedOn w:val="DefaultParagraphFont"/>
    <w:qFormat/>
    <w:rsid w:val="00723458"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link w:val="CorpodetextoChar"/>
    <w:rsid w:val="00723458"/>
    <w:pPr>
      <w:spacing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704c99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b35795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b35795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900e81"/>
    <w:pPr>
      <w:spacing w:before="0" w:after="200"/>
      <w:ind w:left="720"/>
      <w:contextualSpacing/>
    </w:pPr>
    <w:rPr/>
  </w:style>
  <w:style w:type="paragraph" w:styleId="CommentText">
    <w:name w:val="annotation text"/>
    <w:basedOn w:val="Normal"/>
    <w:link w:val="TextodecomentrioChar"/>
    <w:uiPriority w:val="99"/>
    <w:semiHidden/>
    <w:unhideWhenUsed/>
    <w:rsid w:val="00df3821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rsid w:val="00de16af"/>
    <w:pPr/>
    <w:rPr>
      <w:b/>
      <w:bCs/>
    </w:rPr>
  </w:style>
  <w:style w:type="paragraph" w:styleId="Contedodatabela" w:customStyle="1">
    <w:name w:val="Conteúdo da tabela"/>
    <w:basedOn w:val="Normal"/>
    <w:qFormat/>
    <w:rsid w:val="00723458"/>
    <w:pPr>
      <w:widowControl w:val="false"/>
      <w:suppressLineNumbers/>
    </w:pPr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091c1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C9FF35A-3FEC-4712-9FB4-5DA1613058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Application>LibreOffice/25.2.3.2$Linux_X86_64 LibreOffice_project/520$Build-2</Application>
  <AppVersion>15.0000</AppVersion>
  <Pages>6</Pages>
  <Words>1431</Words>
  <Characters>7894</Characters>
  <CharactersWithSpaces>9207</CharactersWithSpaces>
  <Paragraphs>165</Paragraphs>
  <Company>FFCLRP - USP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2024-08-16T12:43:00Z</dcterms:created>
  <dc:creator>Eduardo</dc:creator>
  <dc:description/>
  <dc:language>en-US</dc:language>
  <cp:lastModifiedBy/>
  <cp:lastPrinted>2017-04-10T11:25:00Z</cp:lastPrinted>
  <dcterms:modified xsi:type="dcterms:W3CDTF">2026-06-15T15:32:23Z</dcterms:modified>
  <cp:revision>54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