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COM DISPUTA Nº _____/______, Processo SEI nº {{ numero_sei}}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w:t>
      </w:r>
      <w:r>
        <w:rPr>
          <w:rFonts w:cs="CenturyGothic,Bold" w:ascii="CenturyGothic,Bold" w:hAnsi="CenturyGothic,Bold"/>
          <w:b/>
          <w:bCs/>
          <w:sz w:val="20"/>
          <w:szCs w:val="20"/>
          <w:u w:val="single"/>
        </w:rPr>
        <w:t>{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6"/>
        <w:gridCol w:w="7417"/>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0"/>
            <w:r>
              <w:rPr>
                <w:rFonts w:eastAsia="Calibri" w:cs="CenturyGothic" w:ascii="CenturyGothic" w:hAnsi="CenturyGothic"/>
                <w:kern w:val="0"/>
                <w:sz w:val="20"/>
                <w:szCs w:val="20"/>
                <w:lang w:val="pt-BR" w:eastAsia="en-US" w:bidi="ar-SA"/>
              </w:rPr>
              <w:t>4- Minuta do aviso de contratação direta (Decreto Estadual 68.304/2024) e de contrato, se for o caso</w:t>
            </w:r>
            <w:commentRangeEnd w:id="0"/>
            <w:r>
              <w:commentReference w:id="0"/>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Termo de referência final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1"/>
            <w:r>
              <w:rPr>
                <w:rFonts w:eastAsia="Calibri" w:cs="CenturyGothic" w:ascii="CenturyGothic" w:hAnsi="CenturyGothic"/>
                <w:kern w:val="0"/>
                <w:sz w:val="20"/>
                <w:szCs w:val="20"/>
                <w:lang w:val="pt-BR" w:eastAsia="en-US" w:bidi="ar-SA"/>
              </w:rPr>
              <w:t>9- Solicitação de cotação para fornecedores (art. 23, §1º., IV da Lei 14.133/2021)</w:t>
            </w:r>
            <w:commentRangeEnd w:id="1"/>
            <w:r>
              <w:commentReference w:id="1"/>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e 72, II e VII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15- Aviso de contratação direta (Decreto Estadual 68.304/2024) e de contrato,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16- Haverá contrato?</w:t>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17- Minuta do aviso e do contrato padrão?</w:t>
            </w:r>
          </w:p>
        </w:tc>
        <w:tc>
          <w:tcPr>
            <w:tcW w:w="706"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despacho da Autoridade Competente autorizando a despesa (Art. 1º., inciso II, item h da Portaria GR 8.321/2024) e determinando a divulgação do edital no PNCP (Art. 53, §3º.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Publicação do aviso na íntegra no Portal Nacional de Compras Públicas – PNCP (arts. 54 e 72, § único da Lei 14.133/2021 e arts. 6º, §3º e 9º do Decreto Estadual 68.304/2024), pelo menos 3 dias úteis antes da disputa (art. 10 do Decreto Estadual 68.304/2024) – Imprimir consulta externa da dispensa no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20- Relatório de aceite impresso do Compras.gov.br </w:t>
            </w:r>
            <w:r>
              <w:rPr>
                <w:rFonts w:eastAsia="Calibri" w:cs="CenturyGothic" w:ascii="CenturyGothic" w:hAnsi="CenturyGothic"/>
                <w:b/>
                <w:kern w:val="0"/>
                <w:sz w:val="20"/>
                <w:szCs w:val="20"/>
                <w:lang w:val="pt-BR" w:eastAsia="en-US" w:bidi="ar-SA"/>
              </w:rPr>
              <w:t>(NÃO SAI ANTES DA HOMOLOGAÇÃO)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21- Julgamento da proposta  </w:t>
            </w:r>
            <w:r>
              <w:rPr>
                <w:rFonts w:eastAsia="Calibri" w:cs="CenturyGothic" w:ascii="CenturyGothic" w:hAnsi="CenturyGothic"/>
                <w:b/>
                <w:kern w:val="0"/>
                <w:sz w:val="20"/>
                <w:szCs w:val="20"/>
                <w:lang w:val="pt-BR" w:eastAsia="en-US" w:bidi="ar-SA"/>
              </w:rPr>
              <w:t>(aviso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22- Proposta original do fornecedor vencedor </w:t>
            </w:r>
            <w:r>
              <w:rPr>
                <w:rFonts w:eastAsia="Calibri" w:cs="CenturyGothic" w:ascii="CenturyGothic" w:hAnsi="CenturyGothic"/>
                <w:b/>
                <w:kern w:val="0"/>
                <w:sz w:val="20"/>
                <w:szCs w:val="20"/>
                <w:lang w:val="pt-BR" w:eastAsia="en-US" w:bidi="ar-SA"/>
              </w:rPr>
              <w:t>(anexo do 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highlight w:val="yellow"/>
              </w:rPr>
            </w:pPr>
            <w:r>
              <w:rPr>
                <w:rFonts w:cs="CenturyGothic" w:ascii="CenturyGothic" w:hAnsi="CenturyGothic"/>
                <w:sz w:val="20"/>
                <w:szCs w:val="20"/>
                <w:highlight w:val="yellow"/>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Documentos de habilitação </w:t>
            </w:r>
            <w:r>
              <w:rPr>
                <w:rFonts w:eastAsia="Calibri" w:cs="CenturyGothic" w:ascii="CenturyGothic" w:hAnsi="CenturyGothic"/>
                <w:b/>
                <w:kern w:val="0"/>
                <w:sz w:val="20"/>
                <w:szCs w:val="20"/>
                <w:lang w:val="pt-BR" w:eastAsia="en-US" w:bidi="ar-SA"/>
              </w:rPr>
              <w:t>(TR – ver quadro seguinte, de acordo com o aviso)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 Intenção de interposição de recurso da habilitação (art. 165, inciso I, item “c”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24a- Recurso do licitante (apresentado até 3 dias úteis após intimação ou a lavratura da ata – art. 165, inciso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24b- Contrarrazões dos demais licitantes (apresentada até 3 dias úteis após a intimação pessoal ou da divulgação da interposição de recurso – art. 165, §4º.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24c- Pregoeiro tem 3 dias úteis para reconsiderar ou encaminhar à autoridade superior (art. 165, §2º. da Lei 14.133/2021) – se reconsiderar,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24d- Autoridade superior tem 10 dias úteis para proferir decisão (art. 165, §2º. da Lei 14.133/2021) – se a decisão for favorável ao recurso,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25- Documento compras.gov.br – </w:t>
            </w:r>
            <w:r>
              <w:rPr>
                <w:rFonts w:eastAsia="Calibri" w:cs="CenturyGothic" w:ascii="CenturyGothic" w:hAnsi="CenturyGothic"/>
                <w:b/>
                <w:kern w:val="0"/>
                <w:sz w:val="20"/>
                <w:szCs w:val="20"/>
                <w:lang w:val="pt-BR" w:eastAsia="en-US" w:bidi="ar-SA"/>
              </w:rPr>
              <w:t>relatório de realização da dispensa (sai antes de homologar?)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26-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 xml:space="preserve">27- Documento da Compra com itens efetivados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Informação de fechamento assinada pelo agente de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29-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2"/>
            <w:r>
              <w:rPr>
                <w:rFonts w:eastAsia="Calibri" w:cs="CenturyGothic" w:ascii="CenturyGothic" w:hAnsi="CenturyGothic"/>
                <w:kern w:val="0"/>
                <w:sz w:val="20"/>
                <w:szCs w:val="20"/>
                <w:lang w:val="pt-BR" w:eastAsia="en-US" w:bidi="ar-SA"/>
              </w:rPr>
              <w:t>30- Anulação/reforço da(s) reserva(s) e parecer da contabilidade (processo e Mercúrio)</w:t>
            </w:r>
            <w:commentRangeEnd w:id="2"/>
            <w:r>
              <w:commentReference w:id="2"/>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31-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32- Documento compras.gov.br – </w:t>
            </w:r>
            <w:r>
              <w:rPr>
                <w:rFonts w:eastAsia="Calibri" w:cs="CenturyGothic" w:ascii="CenturyGothic" w:hAnsi="CenturyGothic"/>
                <w:b/>
                <w:kern w:val="0"/>
                <w:sz w:val="20"/>
                <w:szCs w:val="20"/>
                <w:lang w:val="pt-BR" w:eastAsia="en-US" w:bidi="ar-SA"/>
              </w:rPr>
              <w:t>relatório de realização da dispensa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33- Informação encaminhando processo para a Contabilidade para empenhamento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34-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35- Publicação do(s) contrato(s) no DOE e no sítio eletrônico oficial, se houver (PNCP - art. 72, § único da Lei 14.133/2024)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Qualquer alteração no edital, inclusive nova data para realização da disputa, deve ser divulgada nos mesmos meios de divulgação do edital.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20"/>
          <w:szCs w:val="20"/>
        </w:rPr>
      </w:pPr>
      <w:commentRangeStart w:id="3"/>
      <w:r>
        <w:rPr>
          <w:rFonts w:cs="CenturyGothic,Bold" w:ascii="CenturyGothic,Bold" w:hAnsi="CenturyGothic,Bold"/>
          <w:b/>
          <w:bCs/>
          <w:sz w:val="20"/>
          <w:szCs w:val="20"/>
        </w:rPr>
        <w:t xml:space="preserve">DATA DISPUTA </w:t>
      </w:r>
      <w:r>
        <w:rPr>
          <w:rFonts w:cs="CenturyGothic,Bold" w:ascii="CenturyGothic,Bold" w:hAnsi="CenturyGothic,Bold"/>
          <w:b/>
          <w:bCs/>
          <w:sz w:val="20"/>
          <w:szCs w:val="20"/>
        </w:rPr>
      </w:r>
      <w:commentRangeEnd w:id="3"/>
      <w:r>
        <w:commentReference w:id="3"/>
      </w:r>
      <w:r>
        <w:rPr>
          <w:rFonts w:cs="CenturyGothic,Bold" w:ascii="CenturyGothic,Bold" w:hAnsi="CenturyGothic,Bold"/>
          <w:b/>
          <w:bCs/>
          <w:sz w:val="20"/>
          <w:szCs w:val="20"/>
        </w:rPr>
        <w:t>_____/______/______</w:t>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0"/>
        <w:gridCol w:w="549"/>
        <w:gridCol w:w="5812"/>
        <w:gridCol w:w="1687"/>
        <w:gridCol w:w="1856"/>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4"/>
            <w:r>
              <w:rPr>
                <w:rFonts w:eastAsia="Calibri" w:cs="CenturyGothic,Bold" w:ascii="CenturyGothic,Bold" w:hAnsi="CenturyGothic,Bold"/>
                <w:b/>
                <w:bCs/>
                <w:kern w:val="0"/>
                <w:sz w:val="20"/>
                <w:szCs w:val="20"/>
                <w:lang w:val="pt-BR" w:eastAsia="en-US" w:bidi="ar-SA"/>
              </w:rPr>
              <w:t xml:space="preserve">Fornecedor </w:t>
            </w:r>
            <w:r>
              <w:rPr>
                <w:rFonts w:eastAsia="Calibri" w:cs="CenturyGothic,Bold" w:ascii="CenturyGothic,Bold" w:hAnsi="CenturyGothic,Bold"/>
                <w:b/>
                <w:bCs/>
                <w:kern w:val="0"/>
                <w:sz w:val="20"/>
                <w:szCs w:val="20"/>
                <w:lang w:val="pt-BR" w:eastAsia="en-US" w:bidi="ar-SA"/>
              </w:rPr>
            </w:r>
            <w:commentRangeEnd w:id="4"/>
            <w:r>
              <w:commentReference w:id="4"/>
            </w:r>
            <w:r>
              <w:rPr>
                <w:rFonts w:eastAsia="Calibri" w:cs="CenturyGothic,Bold" w:ascii="CenturyGothic,Bold" w:hAnsi="CenturyGothic,Bold"/>
                <w:b/>
                <w:bCs/>
                <w:kern w:val="0"/>
                <w:sz w:val="20"/>
                <w:szCs w:val="20"/>
                <w:lang w:val="pt-BR" w:eastAsia="en-US" w:bidi="ar-SA"/>
              </w:rPr>
              <w:t>(identificação e CNPJ)</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10"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5"/>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5"/>
            <w:r>
              <w:commentReference w:id="5"/>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6"/>
            <w:r>
              <w:rPr>
                <w:rFonts w:eastAsia="Calibri" w:cs="CenturyGothic,Bold" w:ascii="CenturyGothic,Bold" w:hAnsi="CenturyGothic,Bold"/>
                <w:b/>
                <w:bCs/>
                <w:kern w:val="0"/>
                <w:sz w:val="20"/>
                <w:szCs w:val="20"/>
                <w:lang w:val="pt-BR" w:eastAsia="en-US" w:bidi="ar-SA"/>
              </w:rPr>
              <w:t xml:space="preserve">CNCIAI (licitante e </w:t>
            </w:r>
            <w:commentRangeStart w:id="7"/>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7"/>
            <w:r>
              <w:commentReference w:id="7"/>
            </w:r>
            <w:r>
              <w:rPr>
                <w:rFonts w:eastAsia="Calibri" w:cs="CenturyGothic,Bold" w:ascii="CenturyGothic,Bold" w:hAnsi="CenturyGothic,Bold"/>
                <w:b/>
                <w:bCs/>
                <w:kern w:val="0"/>
                <w:sz w:val="20"/>
                <w:szCs w:val="20"/>
                <w:lang w:val="pt-BR" w:eastAsia="en-US" w:bidi="ar-SA"/>
              </w:rPr>
              <w:t>) (aviso)</w:t>
            </w:r>
            <w:commentRangeEnd w:id="6"/>
            <w:r>
              <w:commentReference w:id="6"/>
            </w:r>
            <w:r>
              <w:rPr>
                <w:rFonts w:eastAsia="Calibri" w:cs="CenturyGothic,Bold" w:ascii="CenturyGothic,Bold" w:hAnsi="CenturyGothic,Bold"/>
                <w:b/>
                <w:bCs/>
                <w:kern w:val="0"/>
                <w:sz w:val="20"/>
                <w:szCs w:val="20"/>
                <w:lang w:val="pt-BR" w:eastAsia="en-US" w:bidi="ar-SA"/>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49"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579" w:hRule="exact"/>
        </w:trPr>
        <w:tc>
          <w:tcPr>
            <w:tcW w:w="410"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 xml:space="preserve">Conta no Banco do Brasil </w:t>
            </w:r>
            <w:r>
              <w:rPr>
                <w:rFonts w:eastAsia="Calibri" w:cs="CenturyGothic,Bold" w:ascii="CenturyGothic,Bold" w:hAnsi="CenturyGothic,Bold"/>
                <w:b/>
                <w:bCs/>
                <w:i/>
                <w:iCs/>
                <w:kern w:val="0"/>
                <w:sz w:val="20"/>
                <w:szCs w:val="20"/>
                <w:lang w:val="pt-BR" w:eastAsia="en-US" w:bidi="ar-SA"/>
              </w:rPr>
              <w:t>(Decreto 66.000 de 09/09/2021 – Válido até 28/09/2027)</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sectPr>
          <w:type w:val="nextPage"/>
          <w:pgSz w:w="11906" w:h="16838"/>
          <w:pgMar w:left="1134" w:right="567" w:gutter="0" w:header="0" w:top="567" w:footer="0" w:bottom="851"/>
          <w:pgNumType w:fmt="decimal"/>
          <w:formProt w:val="false"/>
          <w:textDirection w:val="lrTb"/>
          <w:docGrid w:type="default" w:linePitch="360" w:charSpace="8192"/>
        </w:sectPr>
      </w:pP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1"/>
        <w:gridCol w:w="4154"/>
        <w:gridCol w:w="2184"/>
      </w:tblGrid>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pPr>
            <w:r>
              <w:rPr>
                <w:rFonts w:cs="CenturyGothic,Bold" w:ascii="Arial;sans-serif" w:hAnsi="Arial;sans-serif"/>
                <w:bCs/>
                <w:sz w:val="32"/>
                <w:szCs w:val="16"/>
              </w:rPr>
              <w:t>{{ numero_sei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 w:val="32"/>
                <w:szCs w:val="16"/>
              </w:rPr>
              <w:t>{{ numero_compra }}</w:t>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pPr>
            <w:r>
              <w:rPr>
                <w:rFonts w:cs="CenturyGothic,Bold" w:ascii="Arial;sans-serif" w:hAnsi="Arial;sans-serif"/>
                <w:bCs/>
                <w:szCs w:val="16"/>
              </w:rPr>
              <w:t>{{ nome_agente_contratacao }}</w:t>
            </w:r>
          </w:p>
        </w:tc>
      </w:tr>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Cs w:val="16"/>
              </w:rPr>
              <w:t>{{ modalidade }}</w:t>
            </w:r>
          </w:p>
          <w:p>
            <w:pPr>
              <w:pStyle w:val="Contedodatabela"/>
              <w:widowControl/>
              <w:spacing w:lineRule="auto" w:line="331" w:before="0" w:after="0"/>
              <w:rPr/>
            </w:pPr>
            <w:r>
              <w:rPr>
                <w:rFonts w:cs="CenturyGothic,Bold" w:ascii="Arial;sans-serif" w:hAnsi="Arial;sans-serif"/>
                <w:bCs/>
                <w:szCs w:val="16"/>
              </w:rPr>
              <w:t>{{ tipo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r>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rPr>
              <w:t>{{ objeto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pPr>
            <w:r>
              <w:rPr>
                <w:rFonts w:cs="CenturyGothic,Bold" w:ascii="Arial;sans-serif" w:hAnsi="Arial;sans-serif"/>
                <w:bCs/>
                <w:sz w:val="20"/>
                <w:szCs w:val="16"/>
              </w:rPr>
              <w:t>{{ valor_total_previsto_brl }}</w:t>
            </w:r>
          </w:p>
        </w:tc>
      </w:tr>
    </w:tbl>
    <w:p>
      <w:pPr>
        <w:pStyle w:val="Normal"/>
        <w:spacing w:before="0" w:after="0"/>
        <w:rPr/>
      </w:pPr>
      <w:r>
        <w:rP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3649"/>
        <w:gridCol w:w="1856"/>
        <w:gridCol w:w="2160"/>
        <w:gridCol w:w="1350"/>
        <w:gridCol w:w="2183"/>
      </w:tblGrid>
      <w:tr>
        <w:trPr/>
        <w:tc>
          <w:tcPr>
            <w:tcW w:w="3649" w:type="dxa"/>
            <w:tcBorders>
              <w:top w:val="single" w:sz="8" w:space="0" w:color="000000"/>
              <w:left w:val="single" w:sz="8" w:space="0" w:color="000000"/>
              <w:bottom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tc>
        <w:tc>
          <w:tcPr>
            <w:tcW w:w="1856" w:type="dxa"/>
            <w:tcBorders>
              <w:top w:val="single" w:sz="8" w:space="0" w:color="000000"/>
              <w:left w:val="single" w:sz="8" w:space="0" w:color="000000"/>
              <w:bottom w:val="single" w:sz="8" w:space="0" w:color="000000"/>
            </w:tcBorders>
          </w:tcPr>
          <w:p>
            <w:pPr>
              <w:pStyle w:val="Contedodatabela"/>
              <w:widowControl/>
              <w:suppressAutoHyphens w:val="true"/>
              <w:bidi w:val="0"/>
              <w:spacing w:lineRule="auto" w:line="240" w:before="0" w:after="200"/>
              <w:jc w:val="center"/>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TERMO DE   REFERÊNCIA</w:t>
            </w:r>
          </w:p>
          <w:p>
            <w:pPr>
              <w:pStyle w:val="Contedodatabela"/>
              <w:widowControl/>
              <w:suppressAutoHyphens w:val="true"/>
              <w:bidi w:val="0"/>
              <w:spacing w:lineRule="auto" w:line="240" w:before="57" w:after="257"/>
              <w:jc w:val="left"/>
              <w:rPr>
                <w:sz w:val="16"/>
                <w:szCs w:val="16"/>
              </w:rPr>
            </w:pPr>
            <w:r>
              <w:rPr>
                <w:rFonts w:cstheme="minorBidi" w:eastAsiaTheme="minorHAnsi"/>
                <w:sz w:val="16"/>
                <w:szCs w:val="16"/>
              </w:rPr>
              <w:t xml:space="preserve">[    ] </w:t>
            </w:r>
            <w:r>
              <w:rPr>
                <w:rFonts w:cstheme="minorBidi" w:eastAsiaTheme="minorHAnsi"/>
                <w:sz w:val="16"/>
                <w:szCs w:val="16"/>
              </w:rPr>
              <w:t>8.32 Consórcio</w:t>
            </w:r>
          </w:p>
          <w:p>
            <w:pPr>
              <w:pStyle w:val="Contedodatabela"/>
              <w:widowControl/>
              <w:suppressAutoHyphens w:val="true"/>
              <w:bidi w:val="0"/>
              <w:spacing w:lineRule="auto" w:line="240" w:before="57" w:after="257"/>
              <w:jc w:val="left"/>
              <w:rPr>
                <w:sz w:val="16"/>
                <w:szCs w:val="16"/>
              </w:rPr>
            </w:pPr>
            <w:r>
              <w:rPr>
                <w:sz w:val="16"/>
                <w:szCs w:val="16"/>
              </w:rPr>
              <w:t>[    ] 8.3</w:t>
            </w:r>
            <w:r>
              <w:rPr>
                <w:sz w:val="16"/>
                <w:szCs w:val="16"/>
              </w:rPr>
              <w:t>3</w:t>
            </w:r>
            <w:r>
              <w:rPr>
                <w:sz w:val="16"/>
                <w:szCs w:val="16"/>
              </w:rPr>
              <w:t xml:space="preserve"> C</w:t>
            </w:r>
            <w:r>
              <w:rPr>
                <w:sz w:val="16"/>
                <w:szCs w:val="16"/>
              </w:rPr>
              <w:t>ooperativa</w:t>
            </w:r>
          </w:p>
          <w:p>
            <w:pPr>
              <w:pStyle w:val="Contedodatabela"/>
              <w:widowControl/>
              <w:suppressAutoHyphens w:val="true"/>
              <w:bidi w:val="0"/>
              <w:spacing w:lineRule="auto" w:line="240" w:before="57" w:after="257"/>
              <w:jc w:val="left"/>
              <w:rPr>
                <w:sz w:val="16"/>
                <w:szCs w:val="16"/>
              </w:rPr>
            </w:pPr>
            <w:r>
              <w:rPr>
                <w:sz w:val="16"/>
                <w:szCs w:val="16"/>
              </w:rPr>
              <w:t xml:space="preserve">[    ] </w:t>
            </w:r>
            <w:r>
              <w:rPr>
                <w:sz w:val="16"/>
                <w:szCs w:val="16"/>
              </w:rPr>
              <w:t>4.</w:t>
            </w:r>
            <w:r>
              <w:rPr>
                <w:sz w:val="16"/>
                <w:szCs w:val="16"/>
              </w:rPr>
              <w:t>4 Garantia</w:t>
            </w:r>
          </w:p>
          <w:p>
            <w:pPr>
              <w:pStyle w:val="Contedodatabela"/>
              <w:widowControl/>
              <w:suppressAutoHyphens w:val="true"/>
              <w:bidi w:val="0"/>
              <w:spacing w:lineRule="auto" w:line="240" w:before="57" w:after="257"/>
              <w:jc w:val="left"/>
              <w:rPr>
                <w:sz w:val="16"/>
                <w:szCs w:val="16"/>
              </w:rPr>
            </w:pPr>
            <w:r>
              <w:rPr>
                <w:sz w:val="16"/>
                <w:szCs w:val="16"/>
              </w:rPr>
              <w:t xml:space="preserve">[    ] </w:t>
            </w:r>
            <w:r>
              <w:rPr>
                <w:sz w:val="16"/>
                <w:szCs w:val="16"/>
              </w:rPr>
              <w:t>4.7 Vistoria</w:t>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CONTRATO</w:t>
              <w:br/>
            </w:r>
            <w:r>
              <w:rPr>
                <w:rFonts w:eastAsia="Calibri" w:cs="" w:cstheme="minorBidi" w:eastAsiaTheme="minorHAnsi"/>
                <w:color w:val="auto"/>
                <w:kern w:val="0"/>
                <w:sz w:val="16"/>
                <w:szCs w:val="16"/>
                <w:lang w:val="pt-BR" w:eastAsia="en-US" w:bidi="ar-SA"/>
              </w:rPr>
              <w:t>[    ] 7.10.4 Garantia</w:t>
            </w:r>
          </w:p>
        </w:tc>
        <w:tc>
          <w:tcPr>
            <w:tcW w:w="2160" w:type="dxa"/>
            <w:tcBorders>
              <w:top w:val="single" w:sz="8" w:space="0" w:color="000000"/>
              <w:left w:val="single" w:sz="8" w:space="0" w:color="000000"/>
              <w:bottom w:val="single" w:sz="8" w:space="0" w:color="000000"/>
              <w:right w:val="single" w:sz="8" w:space="0" w:color="000000"/>
            </w:tcBorders>
          </w:tcPr>
          <w:p>
            <w:pPr>
              <w:pStyle w:val="Contedodatabela"/>
              <w:widowControl/>
              <w:suppressAutoHyphens w:val="true"/>
              <w:bidi w:val="0"/>
              <w:spacing w:lineRule="auto" w:line="240" w:before="0" w:after="200"/>
              <w:jc w:val="center"/>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EDITAL</w:t>
            </w:r>
          </w:p>
          <w:p>
            <w:pPr>
              <w:pStyle w:val="Contedodatabela"/>
              <w:widowControl/>
              <w:suppressAutoHyphens w:val="true"/>
              <w:bidi w:val="0"/>
              <w:spacing w:lineRule="auto" w:line="240" w:before="57" w:after="257"/>
              <w:jc w:val="left"/>
              <w:rPr>
                <w:rFonts w:eastAsia="Calibri" w:cs="" w:cstheme="minorBidi" w:eastAsia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 xml:space="preserve">[    ] 3.7.10  </w:t>
            </w:r>
            <w:r>
              <w:rPr>
                <w:rFonts w:eastAsia="Calibri" w:cs="" w:cstheme="minorBidi" w:eastAsiaTheme="minorHAnsi"/>
                <w:color w:val="auto"/>
                <w:kern w:val="0"/>
                <w:sz w:val="16"/>
                <w:szCs w:val="22"/>
                <w:lang w:val="pt-BR" w:eastAsia="en-US" w:bidi="ar-SA"/>
              </w:rPr>
              <w:t xml:space="preserve">3.8.2 </w:t>
            </w:r>
            <w:r>
              <w:rPr>
                <w:rFonts w:eastAsia="Calibri" w:cs="" w:cstheme="minorBidi" w:eastAsiaTheme="minorHAnsi"/>
                <w:color w:val="auto"/>
                <w:kern w:val="0"/>
                <w:sz w:val="16"/>
                <w:szCs w:val="22"/>
                <w:lang w:val="pt-BR" w:eastAsia="en-US" w:bidi="ar-SA"/>
              </w:rPr>
              <w:t>C</w:t>
            </w:r>
            <w:r>
              <w:rPr>
                <w:rFonts w:eastAsia="Calibri" w:cs="" w:cstheme="minorBidi" w:eastAsiaTheme="minorHAnsi"/>
                <w:color w:val="auto"/>
                <w:kern w:val="0"/>
                <w:sz w:val="16"/>
                <w:szCs w:val="22"/>
                <w:lang w:val="pt-BR" w:eastAsia="en-US" w:bidi="ar-SA"/>
              </w:rPr>
              <w:t xml:space="preserve">onsórcio </w:t>
              <w:br/>
            </w:r>
            <w:r>
              <w:rPr>
                <w:rFonts w:eastAsia="Calibri" w:cs="" w:cstheme="minorBidi" w:eastAsiaTheme="minorHAnsi"/>
                <w:color w:val="auto"/>
                <w:kern w:val="0"/>
                <w:sz w:val="16"/>
                <w:szCs w:val="22"/>
                <w:lang w:val="pt-BR" w:eastAsia="en-US" w:bidi="ar-SA"/>
              </w:rPr>
              <w:br/>
            </w:r>
            <w:r>
              <w:rPr>
                <w:rFonts w:eastAsia="Calibri" w:cs="" w:cstheme="minorBidi" w:eastAsiaTheme="minorHAnsi"/>
                <w:color w:val="auto"/>
                <w:kern w:val="0"/>
                <w:sz w:val="16"/>
                <w:szCs w:val="22"/>
                <w:lang w:val="pt-BR" w:eastAsia="en-US" w:bidi="ar-SA"/>
              </w:rPr>
              <w:t xml:space="preserve">[   ] 3.8.1 </w:t>
            </w:r>
            <w:r>
              <w:rPr>
                <w:rFonts w:eastAsia="Calibri" w:cs="" w:cstheme="minorBidi" w:eastAsiaTheme="minorHAnsi"/>
                <w:color w:val="auto"/>
                <w:kern w:val="0"/>
                <w:sz w:val="16"/>
                <w:szCs w:val="22"/>
                <w:lang w:val="pt-BR" w:eastAsia="en-US" w:bidi="ar-SA"/>
              </w:rPr>
              <w:t>C</w:t>
            </w:r>
            <w:r>
              <w:rPr>
                <w:rFonts w:eastAsia="Calibri" w:cs="" w:cstheme="minorBidi" w:eastAsiaTheme="minorHAnsi"/>
                <w:color w:val="auto"/>
                <w:kern w:val="0"/>
                <w:sz w:val="16"/>
                <w:szCs w:val="22"/>
                <w:lang w:val="pt-BR" w:eastAsia="en-US" w:bidi="ar-SA"/>
              </w:rPr>
              <w:t>ooperativa</w:t>
            </w:r>
          </w:p>
          <w:p>
            <w:pPr>
              <w:pStyle w:val="Contedodatabela"/>
              <w:widowControl/>
              <w:suppressAutoHyphens w:val="true"/>
              <w:bidi w:val="0"/>
              <w:spacing w:lineRule="auto" w:line="240" w:before="57" w:after="257"/>
              <w:jc w:val="left"/>
              <w:rPr>
                <w:sz w:val="16"/>
                <w:szCs w:val="16"/>
              </w:rPr>
            </w:pPr>
            <w:r>
              <w:rPr>
                <w:sz w:val="16"/>
                <w:szCs w:val="16"/>
              </w:rPr>
              <w:t xml:space="preserve">[    ] </w:t>
            </w:r>
            <w:r>
              <w:rPr>
                <w:sz w:val="16"/>
                <w:szCs w:val="16"/>
              </w:rPr>
              <w:t xml:space="preserve">7.10.4 Garantia </w:t>
            </w:r>
            <w:r>
              <w:rPr>
                <w:sz w:val="16"/>
                <w:szCs w:val="16"/>
              </w:rPr>
              <w:t>Engª</w:t>
            </w:r>
            <w:r>
              <w:rPr>
                <w:sz w:val="16"/>
                <w:szCs w:val="16"/>
              </w:rPr>
              <w:t xml:space="preserve"> </w:t>
            </w:r>
          </w:p>
          <w:p>
            <w:pPr>
              <w:pStyle w:val="Contedodatabela"/>
              <w:widowControl/>
              <w:suppressAutoHyphens w:val="true"/>
              <w:bidi w:val="0"/>
              <w:spacing w:lineRule="auto" w:line="240" w:before="57" w:after="257"/>
              <w:jc w:val="left"/>
              <w:rPr/>
            </w:pPr>
            <w:r>
              <w:rPr>
                <w:sz w:val="16"/>
                <w:szCs w:val="16"/>
              </w:rPr>
              <w:t xml:space="preserve">[    ] </w:t>
            </w:r>
            <w:r>
              <w:rPr>
                <w:sz w:val="16"/>
                <w:szCs w:val="16"/>
              </w:rPr>
              <w:t>8.10 Vistoria</w:t>
            </w:r>
          </w:p>
          <w:p>
            <w:pPr>
              <w:pStyle w:val="Contedodatabela"/>
              <w:widowControl/>
              <w:suppressAutoHyphens w:val="true"/>
              <w:bidi w:val="0"/>
              <w:spacing w:lineRule="auto" w:line="240" w:before="57" w:after="257"/>
              <w:jc w:val="left"/>
              <w:rPr>
                <w:sz w:val="16"/>
                <w:szCs w:val="16"/>
              </w:rPr>
            </w:pPr>
            <w:r>
              <w:rPr>
                <w:sz w:val="16"/>
                <w:szCs w:val="16"/>
              </w:rPr>
            </w:r>
          </w:p>
          <w:p>
            <w:pPr>
              <w:pStyle w:val="Contedodatabela"/>
              <w:widowControl/>
              <w:suppressAutoHyphens w:val="true"/>
              <w:bidi w:val="0"/>
              <w:spacing w:lineRule="auto" w:line="240" w:before="57" w:after="257"/>
              <w:jc w:val="left"/>
              <w:rPr>
                <w:rFonts w:eastAsia="Calibri" w:cs="" w:cstheme="minorBidi" w:eastAsia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   ]  3.5 Exclusivo EPP</w:t>
            </w:r>
          </w:p>
        </w:tc>
        <w:tc>
          <w:tcPr>
            <w:tcW w:w="1350" w:type="dxa"/>
            <w:tcBorders>
              <w:top w:val="single" w:sz="8" w:space="0" w:color="000000"/>
              <w:left w:val="single" w:sz="8" w:space="0" w:color="000000"/>
              <w:bottom w:val="single" w:sz="8" w:space="0" w:color="000000"/>
              <w:right w:val="single" w:sz="8" w:space="0" w:color="000000"/>
            </w:tcBorders>
          </w:tcPr>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Grade</w:t>
            </w:r>
          </w:p>
        </w:tc>
        <w:tc>
          <w:tcPr>
            <w:tcW w:w="218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079"/>
        <w:gridCol w:w="1351"/>
        <w:gridCol w:w="450"/>
        <w:gridCol w:w="495"/>
        <w:gridCol w:w="854"/>
        <w:gridCol w:w="4157"/>
        <w:gridCol w:w="1172"/>
        <w:gridCol w:w="925"/>
        <w:gridCol w:w="358"/>
        <w:gridCol w:w="357"/>
      </w:tblGrid>
      <w:tr>
        <w:trPr/>
        <w:tc>
          <w:tcPr>
            <w:tcW w:w="107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Demanda</w:t>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 xml:space="preserve">Centro Gerencial </w:t>
              <w:br/>
              <w:t>Grupo Orçamentário</w:t>
            </w:r>
          </w:p>
        </w:tc>
        <w:tc>
          <w:tcPr>
            <w:tcW w:w="4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w:t>
            </w:r>
          </w:p>
        </w:tc>
        <w:tc>
          <w:tcPr>
            <w:tcW w:w="49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Qtd</w:t>
            </w:r>
          </w:p>
        </w:tc>
        <w:tc>
          <w:tcPr>
            <w:tcW w:w="8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Código Compras GOV</w:t>
            </w:r>
          </w:p>
        </w:tc>
        <w:tc>
          <w:tcPr>
            <w:tcW w:w="41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Descrição</w:t>
            </w:r>
          </w:p>
        </w:tc>
        <w:tc>
          <w:tcPr>
            <w:tcW w:w="1172" w:type="dxa"/>
            <w:tcBorders>
              <w:top w:val="single" w:sz="8" w:space="0" w:color="000000"/>
              <w:left w:val="single" w:sz="8" w:space="0" w:color="000000"/>
              <w:bottom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Valor unitário</w:t>
            </w:r>
          </w:p>
        </w:tc>
        <w:tc>
          <w:tcPr>
            <w:tcW w:w="92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Item de despesa</w:t>
            </w:r>
          </w:p>
        </w:tc>
        <w:tc>
          <w:tcPr>
            <w:tcW w:w="35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TRP</w:t>
            </w:r>
          </w:p>
        </w:tc>
        <w:tc>
          <w:tcPr>
            <w:tcW w:w="3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w:t>
            </w:r>
          </w:p>
        </w:tc>
      </w:tr>
      <w:tr>
        <w:trPr>
          <w:trHeight w:val="387" w:hRule="atLeast"/>
        </w:trPr>
        <w:tc>
          <w:tcPr>
            <w:tcW w:w="11198" w:type="dxa"/>
            <w:gridSpan w:val="10"/>
            <w:tcBorders>
              <w:top w:val="single" w:sz="8" w:space="0" w:color="000000"/>
              <w:left w:val="single" w:sz="8" w:space="0" w:color="000000"/>
              <w:bottom w:val="single" w:sz="8" w:space="0" w:color="000000"/>
              <w:right w:val="single" w:sz="8" w:space="0" w:color="000000"/>
            </w:tcBorders>
            <w:vAlign w:val="center"/>
          </w:tcPr>
          <w:p>
            <w:pPr>
              <w:pStyle w:val="TableContents"/>
              <w:spacing w:before="0" w:after="200"/>
              <w:rPr>
                <w:lang w:val="en-US"/>
              </w:rPr>
            </w:pPr>
            <w:r>
              <w:rPr>
                <w:color w:val="2A6099"/>
                <w:sz w:val="12"/>
                <w:szCs w:val="12"/>
                <w:lang w:val="en-US"/>
              </w:rPr>
              <w:t>{%tr for item in itens %}</w:t>
            </w:r>
          </w:p>
        </w:tc>
      </w:tr>
      <w:tr>
        <w:trPr/>
        <w:tc>
          <w:tcPr>
            <w:tcW w:w="1079"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sz w:val="16"/>
                <w:szCs w:val="16"/>
              </w:rPr>
            </w:pPr>
            <w:r>
              <w:rPr>
                <w:rFonts w:cs="CenturyGothic,Bold"/>
                <w:bCs/>
                <w:sz w:val="16"/>
                <w:szCs w:val="16"/>
              </w:rPr>
              <w:t>{{ item.numero_demanda }}</w:t>
            </w:r>
          </w:p>
        </w:tc>
        <w:tc>
          <w:tcPr>
            <w:tcW w:w="1351"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item.centro_gerencial }}</w:t>
              <w:br/>
              <w:t>{{ item.grupo_orcamentario }}</w:t>
            </w:r>
          </w:p>
        </w:tc>
        <w:tc>
          <w:tcPr>
            <w:tcW w:w="4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item.numero_ordem }}</w:t>
            </w:r>
          </w:p>
        </w:tc>
        <w:tc>
          <w:tcPr>
            <w:tcW w:w="495" w:type="dxa"/>
            <w:tcBorders>
              <w:left w:val="single" w:sz="8" w:space="0" w:color="000000"/>
              <w:bottom w:val="single" w:sz="8" w:space="0" w:color="000000"/>
              <w:right w:val="single" w:sz="8" w:space="0" w:color="000000"/>
            </w:tcBorders>
            <w:vAlign w:val="center"/>
          </w:tcPr>
          <w:p>
            <w:pPr>
              <w:pStyle w:val="Normal"/>
              <w:spacing w:lineRule="auto" w:line="240" w:before="0" w:after="0"/>
              <w:jc w:val="center"/>
              <w:rPr>
                <w:sz w:val="16"/>
                <w:szCs w:val="16"/>
              </w:rPr>
            </w:pPr>
            <w:r>
              <w:rPr>
                <w:rFonts w:cs="CenturyGothic,Bold"/>
                <w:sz w:val="16"/>
                <w:szCs w:val="16"/>
              </w:rPr>
              <w:t xml:space="preserve">{{ </w:t>
            </w:r>
            <w:r>
              <w:rPr>
                <w:rFonts w:cs="CenturyGothic,Bold"/>
                <w:bCs/>
                <w:sz w:val="16"/>
                <w:szCs w:val="16"/>
              </w:rPr>
              <w:t>item.</w:t>
            </w:r>
            <w:r>
              <w:rPr>
                <w:rFonts w:cs="CenturyGothic,Bold"/>
                <w:sz w:val="16"/>
                <w:szCs w:val="16"/>
              </w:rPr>
              <w:t>quantidade }}</w:t>
            </w:r>
          </w:p>
        </w:tc>
        <w:tc>
          <w:tcPr>
            <w:tcW w:w="854"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item.codigo_comprasgov }}</w:t>
            </w:r>
          </w:p>
        </w:tc>
        <w:tc>
          <w:tcPr>
            <w:tcW w:w="4157"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sz w:val="16"/>
                <w:szCs w:val="16"/>
              </w:rPr>
            </w:pPr>
            <w:r>
              <w:rPr>
                <w:rFonts w:cs="CenturyGothic,Bold"/>
                <w:bCs/>
                <w:sz w:val="16"/>
                <w:szCs w:val="16"/>
              </w:rPr>
              <w:t xml:space="preserve"> </w:t>
            </w:r>
            <w:r>
              <w:rPr>
                <w:rFonts w:cs="CenturyGothic,Bold"/>
                <w:bCs/>
                <w:sz w:val="16"/>
                <w:szCs w:val="16"/>
              </w:rPr>
              <w:t>{{ item.descricao }}</w:t>
            </w:r>
          </w:p>
        </w:tc>
        <w:tc>
          <w:tcPr>
            <w:tcW w:w="1172" w:type="dxa"/>
            <w:tcBorders>
              <w:left w:val="single" w:sz="8" w:space="0" w:color="000000"/>
              <w:bottom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item.valor_unitario_previsto_brl }}</w:t>
            </w:r>
          </w:p>
        </w:tc>
        <w:tc>
          <w:tcPr>
            <w:tcW w:w="925"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item.item_despesa }}</w:t>
            </w:r>
          </w:p>
        </w:tc>
        <w:tc>
          <w:tcPr>
            <w:tcW w:w="358" w:type="dxa"/>
            <w:tcBorders>
              <w:left w:val="single" w:sz="8" w:space="0" w:color="000000"/>
              <w:bottom w:val="single" w:sz="8" w:space="0" w:color="000000"/>
              <w:right w:val="single" w:sz="8" w:space="0" w:color="000000"/>
            </w:tcBorders>
            <w:vAlign w:val="center"/>
          </w:tcPr>
          <w:p>
            <w:pPr>
              <w:pStyle w:val="Contedodatabela"/>
              <w:spacing w:before="0" w:after="200"/>
              <w:rPr>
                <w:sz w:val="16"/>
                <w:szCs w:val="16"/>
              </w:rPr>
            </w:pPr>
            <w:r>
              <w:rPr>
                <w:sz w:val="16"/>
                <w:szCs w:val="16"/>
              </w:rPr>
            </w:r>
          </w:p>
        </w:tc>
        <w:tc>
          <w:tcPr>
            <w:tcW w:w="357"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cs="CenturyGothic,Bold"/>
                <w:bCs/>
                <w:sz w:val="16"/>
                <w:szCs w:val="16"/>
              </w:rPr>
            </w:pPr>
            <w:r>
              <w:rPr>
                <w:rFonts w:cs="CenturyGothic,Bold"/>
                <w:bCs/>
                <w:sz w:val="16"/>
                <w:szCs w:val="16"/>
              </w:rPr>
            </w:r>
          </w:p>
        </w:tc>
      </w:tr>
      <w:tr>
        <w:trPr/>
        <w:tc>
          <w:tcPr>
            <w:tcW w:w="11198" w:type="dxa"/>
            <w:gridSpan w:val="10"/>
            <w:tcBorders>
              <w:left w:val="single" w:sz="8" w:space="0" w:color="000000"/>
              <w:bottom w:val="single" w:sz="8" w:space="0" w:color="000000"/>
              <w:right w:val="single" w:sz="8" w:space="0" w:color="000000"/>
            </w:tcBorders>
            <w:vAlign w:val="center"/>
          </w:tcPr>
          <w:p>
            <w:pPr>
              <w:pStyle w:val="TableContents"/>
              <w:widowControl w:val="false"/>
              <w:suppressLineNumbers/>
              <w:spacing w:before="0" w:after="200"/>
              <w:rPr/>
            </w:pPr>
            <w:r>
              <w:rPr>
                <w:color w:val="2A6099"/>
                <w:sz w:val="12"/>
                <w:szCs w:val="12"/>
              </w:rPr>
              <w:t>{%tr endfor %}</w:t>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56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11-05T10:51:00Z" w:initials="K">
    <w:p>
      <w:pPr>
        <w:overflowPunct w:val="false"/>
        <w:spacing w:lineRule="auto" w:line="240" w:before="0" w:after="0"/>
        <w:rPr/>
      </w:pPr>
      <w:r>
        <w:rPr>
          <w:rFonts w:eastAsia="DejaVu Sans" w:cs="DejaVu Sans" w:ascii="Liberation Serif" w:hAnsi="Liberation Serif"/>
          <w:sz w:val="24"/>
          <w:szCs w:val="24"/>
          <w:lang w:val="en-US" w:eastAsia="en-US" w:bidi="en-US"/>
        </w:rPr>
        <w:t>Ponto de atenção:</w:t>
      </w:r>
    </w:p>
    <w:p>
      <w:pPr>
        <w:overflowPunct w:val="false"/>
        <w:spacing w:lineRule="auto" w:line="240" w:before="0" w:after="0"/>
        <w:rPr/>
      </w:pPr>
      <w:r>
        <w:rPr>
          <w:rFonts w:eastAsia="DejaVu Sans" w:cs="DejaVu Sans" w:ascii="Liberation Serif" w:hAnsi="Liberation Serif"/>
          <w:sz w:val="24"/>
          <w:szCs w:val="24"/>
          <w:lang w:val="en-US" w:eastAsia="en-US" w:bidi="en-US"/>
        </w:rPr>
        <w:t>Foi acordado com a Seção de Compras que o valor de contratação NÃO será sigiloso em regra, isso quer dizer que, no campo “Valor total da contratação”, deve estar inserido o valor da pesquisa prévia. Adicionalmente, no TR os itens devem estar descritos com sua unidade de medida, quantidade, valor unitário e valor total.</w:t>
      </w:r>
    </w:p>
  </w:comment>
  <w:comment w:id="1" w:author="Kleber Nomura" w:date="2025-10-30T09:26:00Z" w:initials="KN">
    <w:p>
      <w:pPr>
        <w:overflowPunct w:val="false"/>
        <w:spacing w:lineRule="auto" w:line="240" w:before="0" w:after="0"/>
        <w:rPr/>
      </w:pPr>
      <w:r>
        <w:rPr>
          <w:rFonts w:eastAsia="DejaVu Sans" w:cs="DejaVu Sans" w:ascii="Liberation Serif" w:hAnsi="Liberation Serif"/>
          <w:sz w:val="24"/>
          <w:szCs w:val="24"/>
          <w:lang w:val="en-US" w:eastAsia="en-US" w:bidi="en-US"/>
        </w:rPr>
        <w:t xml:space="preserve">Não é obrigatório ter uma solicitação formal aos fornecedores, mas, quando forem utilizados orçamentos desse tipo, deve ter alguma indicação na grade de pesquisa prévia. </w:t>
      </w:r>
    </w:p>
  </w:comment>
  <w:comment w:id="2" w:author="Kleber" w:date="2024-09-27T09:45:00Z" w:initials="K">
    <w:p>
      <w:pPr>
        <w:overflowPunct w:val="false"/>
        <w:spacing w:lineRule="auto" w:line="240" w:before="0" w:after="0"/>
        <w:rPr/>
      </w:pPr>
      <w:r>
        <w:rPr>
          <w:rFonts w:eastAsia="DejaVu Sans" w:cs="DejaVu Sans" w:ascii="Liberation Serif" w:hAnsi="Liberation Serif"/>
          <w:sz w:val="24"/>
          <w:szCs w:val="24"/>
          <w:lang w:val="en-US" w:eastAsia="en-US" w:bidi="en-US"/>
        </w:rPr>
        <w:t>Após a Contabilidade ajustar a reserva e encaminhar o processo no SEI, a Seção de Compras efetuará, no sistema mercúrio, a ação “Encaminhar para Adjudicação/Homologação da(o) Dirigente” e avisará ao Marco para efetuar a confirmação no mesmo sistema. Por último, quando o processo voltar para empenho no SEI, a contabilidade efetuará a ação “Encaminhar para Empenho” no sistema mercúrio. Assim, a compra ficará pronta para ser empenhada.</w:t>
      </w:r>
    </w:p>
  </w:comment>
  <w:comment w:id="3" w:author="Kleber" w:date="2024-09-13T14:07: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As certidões de julgamento e habilitação devem ter sido emitidas e válidas na data da disputa. </w:t>
      </w:r>
    </w:p>
  </w:comment>
  <w:comment w:id="4" w:author="Kleber" w:date="2024-08-16T11:43:00Z" w:initials="K">
    <w:p>
      <w:pPr>
        <w:overflowPunct w:val="false"/>
        <w:spacing w:lineRule="auto" w:line="240" w:before="0" w:after="0"/>
        <w:rPr/>
      </w:pPr>
      <w:r>
        <w:rPr>
          <w:rFonts w:eastAsia="DejaVu Sans" w:cs="DejaVu Sans" w:ascii="Liberation Serif" w:hAnsi="Liberation Serif"/>
          <w:sz w:val="24"/>
          <w:szCs w:val="24"/>
          <w:lang w:val="en-US" w:eastAsia="en-US" w:bidi="en-US"/>
        </w:rPr>
        <w:t>A Ata da disputa da sessão pública é gerada somente após a homologação da compra direta. Dessa forma, a conferência fica invertida, ou seja, confere-se primeiro os documentos do(s) fornecedor(es) e depois confere-se, na sessão pública, se foi ele quem venceu de fato a disputa.</w:t>
      </w:r>
    </w:p>
  </w:comment>
  <w:comment w:id="5" w:author="Kleber" w:date="2024-09-04T11:23: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7" w:author="Kleber" w:date="2024-08-22T10:22:00Z" w:initials="K">
    <w:p>
      <w:pPr>
        <w:overflowPunct w:val="fals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6" w:author="Kleber" w:date="2025-06-18T11:05:00Z" w:initials="K">
    <w:p>
      <w:pPr>
        <w:overflowPunct w:val="fals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d54001"/>
    <w:rPr>
      <w:sz w:val="16"/>
      <w:szCs w:val="16"/>
    </w:rPr>
  </w:style>
  <w:style w:type="character" w:styleId="TextodecomentrioChar" w:customStyle="1">
    <w:name w:val="Texto de comentário Char"/>
    <w:basedOn w:val="DefaultParagraphFont"/>
    <w:link w:val="CommentText"/>
    <w:uiPriority w:val="99"/>
    <w:qFormat/>
    <w:rsid w:val="00d54001"/>
    <w:rPr>
      <w:sz w:val="20"/>
      <w:szCs w:val="20"/>
    </w:rPr>
  </w:style>
  <w:style w:type="character" w:styleId="AssuntodocomentrioChar" w:customStyle="1">
    <w:name w:val="Assunto do comentário Char"/>
    <w:basedOn w:val="TextodecomentrioChar"/>
    <w:link w:val="annotationsubject"/>
    <w:uiPriority w:val="99"/>
    <w:semiHidden/>
    <w:qFormat/>
    <w:rsid w:val="00d54001"/>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customStyle="1">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unhideWhenUsed/>
    <w:rsid w:val="00d54001"/>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54001"/>
    <w:pPr/>
    <w:rPr>
      <w:b/>
      <w:bCs/>
    </w:rPr>
  </w:style>
  <w:style w:type="paragraph" w:styleId="Contedodatabela" w:customStyle="1">
    <w:name w:val="Conteúdo da tabela"/>
    <w:basedOn w:val="Normal"/>
    <w:qFormat/>
    <w:pPr>
      <w:widowControl w:val="false"/>
      <w:suppressLineNumbers/>
    </w:pPr>
    <w:rPr/>
  </w:style>
  <w:style w:type="paragraph" w:styleId="TableContents" w:customStyle="1">
    <w:name w:val="Table Contents"/>
    <w:basedOn w:val="Normal"/>
    <w:qFormat/>
    <w:rsid w:val="007c4bb1"/>
    <w:pPr>
      <w:widowControl w:val="false"/>
      <w:suppressLineNumbers/>
    </w:pPr>
    <w:rPr>
      <w:rFonts w:ascii="Arial" w:hAnsi="Arial" w:cs="Arial"/>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E452BE-484F-4E0D-868F-2D6756E76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Application>LibreOffice/25.2.3.2$Linux_X86_64 LibreOffice_project/520$Build-2</Application>
  <AppVersion>15.0000</AppVersion>
  <Pages>7</Pages>
  <Words>1448</Words>
  <Characters>7929</Characters>
  <CharactersWithSpaces>9278</CharactersWithSpaces>
  <Paragraphs>183</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2024-08-16T18:10:00Z</dcterms:created>
  <dc:creator>Eduardo</dc:creator>
  <dc:description/>
  <dc:language>en-US</dc:language>
  <cp:lastModifiedBy/>
  <cp:lastPrinted>2017-04-10T11:25:00Z</cp:lastPrinted>
  <dcterms:modified xsi:type="dcterms:W3CDTF">2026-06-30T14:28:17Z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