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PREGÃO ELETRÔNICO Nº ___/______, Processo SEI nº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numero_sei }}</w:t>
      </w:r>
    </w:p>
    <w:p>
      <w:pPr>
        <w:pStyle w:val="Normal"/>
        <w:spacing w:lineRule="auto" w:line="240" w:before="120" w:after="0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COMPRA n.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numero_compra}}</w:t>
      </w: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 Finalidade: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objeto }}</w:t>
      </w:r>
    </w:p>
    <w:tbl>
      <w:tblPr>
        <w:tblStyle w:val="Tabelacomgrade"/>
        <w:tblW w:w="1033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54"/>
        <w:gridCol w:w="296"/>
        <w:gridCol w:w="583"/>
        <w:gridCol w:w="7577"/>
        <w:gridCol w:w="1125"/>
      </w:tblGrid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1- Autorização da autoridade competente para o início da fase preparatória (art. 1º., inciso I, item a da Portaria GR 8.321/2024 e art. 18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2- Abertura de processo SEI (Decreto Estadual 67.641/2023)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3- Documento de formalização da demanda (DFD) (art. 12, inciso VII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 – justificativa da necessidade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 – descrição sucinta do objeto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III – quantidade a ser contratada (consumo anual)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IV – estimativa preliminar do valor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 – data pretendida para a conclusão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 – grau de prioridade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 – vinculação a outro DFD?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VIII – nome da área requisitante ou técnica e identificação do responsável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4- Estudo técnico preliminar (ETP) (art. 18, §§1º., 2º. e 3º.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I – descrição da necessidade da contratação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 – previsão da contratação no PCA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III – requisitos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IV – estimativas das quantidades para contratação (memórias de cálculo)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 – levantamento de mercado (análise das alternativas e justificativa técnica e econômica da escolha)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VI – estimativa do valor da contratação (preços unitários, memórias de cálculos, opção pelo sigilo ou não até a conclusão da licitação)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 – descrição da solução (exigências de manutenção e assistência técnica, se for o caso)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VIII – justificativa para parcelamento ou não do objeto (art, 9º, VII da IN SEGES 58/2022)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IX – demonstrativo dos resultados pretendidos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 – providências prévias à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XI – contratações correlatas ou interdependentes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XII – descrição de impactos ambientais e medidas mitigadoras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XIII – posicionamento conclusivo sobre a contratação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5- Análise de risco preliminar (ARP) (art. 18, inciso X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6- Termo de referência (TR) (art. 6º., XXIII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Definição do objeto (natureza, quantitativo, prazo do contrato e possibilidade de prorrogação)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Fundamentação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Descrição da solução (considerando o ciclo do objeto)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Modelo de execução do objeto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Modelo de gestão do contrato (fiscalização)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Critérios de medição e pagamento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Forma e critérios de seleção do fornecedor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Estimativa de valor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Adequação orçamentária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Utilizou modelo padronizado? (Decreto Estadual 68.185/2023)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7- Pesquisa de preços – Valor estimado da contratação (art. 18, IV, e 23 da Lei 14.133/2021 e Decreto Estadual 67.888/2023)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8- Pesquisa de preços – parâmetros para aferição do melhor preço (art. 3º. do Decreto Estadual 67.888/2023)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9- Pesquisa de preços – Justificativa de preços (art. 7º. Do Decreto Estadual 67.888/2023)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10- Grade de Preços – Sistema Mercúrio, com todas as cotações obtidas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11- Documento de Compra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12- Reserva(s) Financeira(s) (valor e centro de despesa)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13- Designação do Pregoeiro publicada no DOESP (art. 8º. Da Lei 14.133/2021 e art. 1º., inciso I, item b da Portaria GR 8.321/2024)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14- Edital do Pregão a ser assinado pela Autoridade Competente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15- Edital padrão?</w:t>
            </w:r>
          </w:p>
        </w:tc>
        <w:tc>
          <w:tcPr>
            <w:tcW w:w="583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Não</w:t>
            </w:r>
          </w:p>
        </w:tc>
        <w:tc>
          <w:tcPr>
            <w:tcW w:w="75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Encaminhar o processo à Procuradoria Geral (PG) para parecer jurídico (art. 1º., §3º. da Portaria PG 12/2024)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58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75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Parecer da Procuradoria Geral (Art, 53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75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Relatório de verificação (Portaria PG 12/2024) – utilização de minutas pré-aprovadas pelo órgão jurídico (art. 53, §5º.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16- Encaminhar ao DFEI (DF) para inspeção se valor da compra acima de R$ 650mil (art. 1º.,inciso I, item a da Portaria GR.8.321/2024)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17- despacho da Autoridade Competente autorizando a despesa (Art. 1º., inciso II, item h da Portaria GR 8.321/2024) e determinando a divulgação do edital no PNCP (Art. 53, §3º.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18- Publicação do edital na íntegra no Portal Nacional de Compras Públicas – PNCP (art. 54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19- Publicação do extrato do pregão no DOE e jornal diário de grande circulação (art. 54, §1º. da Lei 14.133/2021) e Divulgação na Internet – no mínimo 8 dias úteis para aquisição de bens (art. 55, inciso I, item “a” da Lei 14.133/2021) e 10 dias úteis para aquisição de serviços e obras e serviços comuns de engenharia (art. 55, inciso II, item “a” da Lei 14.133/2021) entre a divulgação e a data de recebimento das propostas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20- Publicação integral do edital e seus anexos em sítio eletrônico oficial (art. 54, §2º. da Lei 14.133/2024) (Facultativo)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21- </w:t>
            </w:r>
            <w:r>
              <w:rPr>
                <w:rFonts w:eastAsia="Calibri" w:cs="CenturyGothic" w:ascii="CenturyGothic" w:hAnsi="CenturyGothic"/>
                <w:strike/>
                <w:kern w:val="0"/>
                <w:sz w:val="20"/>
                <w:szCs w:val="20"/>
                <w:lang w:val="pt-BR" w:eastAsia="en-US" w:bidi="ar-SA"/>
              </w:rPr>
              <w:t xml:space="preserve">Inclusão do edital no Sistema AUDESP-TCE </w:t>
            </w:r>
            <w:r>
              <w:rPr>
                <w:rFonts w:eastAsia="Calibri" w:cs="CenturyGothic" w:ascii="CenturyGothic" w:hAnsi="CenturyGothic"/>
                <w:b/>
                <w:bCs/>
                <w:kern w:val="0"/>
                <w:sz w:val="20"/>
                <w:szCs w:val="20"/>
                <w:lang w:val="pt-BR" w:eastAsia="en-US" w:bidi="ar-SA"/>
              </w:rPr>
              <w:t>NÃO É MAIS NECESSÁRIO</w:t>
            </w:r>
          </w:p>
        </w:tc>
        <w:tc>
          <w:tcPr>
            <w:tcW w:w="112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22- Impugnação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565" w:hRule="atLeast"/>
          <w:cantSplit w:val="true"/>
        </w:trPr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22a- Impugnação encaminhada para o endereço constante no edital (até 3 dias úteis antes da data de abertura – art. 164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754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22b- Parecer do pregoeiro e da equipe de apoio sobre a impugnação (em até 3 dias úteis após o pedido de impugnação, limitado ao dia útil anterior à data de abertura – art. 164, parágrafo único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4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22c- Documento compras.gov.br demonstrando o cadastro da impugnação e a respectiva resposta, assim como divulgação em sítio eletrônico oficial (art. 164, parágrafo único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4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22d- Se a impugnação for acolhida, será definida e publicada nova data para realização do certame (retornar ao item 18 para registrar a alteração)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23- pedidos de esclarecimento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565" w:hRule="atLeast"/>
          <w:cantSplit w:val="true"/>
        </w:trPr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23a- Solicitação de esclarecimento encaminhada para o endereço constante no edital (até 3 dias úteis antes da data de abertura – art. 164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754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23b- Resposta do pregoeiro e da equipe de apoio (em até 3 dias úteis após o pedido de esclarecimento, limitado ao dia útil anterior à data de abertura – art. 164, parágrafo único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4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23c- Documento compras.gov.br demonstrando o cadastro do esclarecimento e a respectiva resposta, assim como divulgação em sítio eletrônico oficial (art. 164, parágrafo único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24- Julgamento da proposta 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(edital – ver quadro seguinte)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25- Proposta original do fornecedor vencedor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(anexo do edital – ver quadro seguinte)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26- Documentos de habilitação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(TR – ver quadro seguinte, de acordo com o edital)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27- Intenção de interposição de recurso da habilitação (art. 165, inciso I, item “c”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28a- Recurso do licitante (apresentado até 3 dias úteis após intimação ou a lavratura da ata – art. 165, inciso I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28b- Contrarrazões dos demais licitantes (apresentada até 3 dias úteis após a intimação pessoal ou da divulgação da interposição de recurso – art. 165, §4º.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28c- Pregoeiro tem 3 dias úteis para reconsiderar ou encaminhar à autoridade superior (art. 165, §2º. da Lei 14.133/2021) – se reconsiderar, retornar ao item 24 ou 26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28d- Autoridade superior tem 10 dias úteis para proferir decisão (art. 165, §2º. da Lei 14.133/2021) – se a decisão for favorável ao recurso, retornar ao item 24 ou 26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29- Documento compras.gov.br –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Ata de realização do pregão eletrônico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30- Grade Proposta do Fornecedor Vencedor –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Sistema Mercúrio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31- Documento da Compra com itens efetivados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32- Informação de fechamento assinada pelo pregoeiro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33- Informação encaminhando à Seção de Contabilidade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34- Anulação/reforço da(s) reserva(s) e parecer da contabilidade (processo e Mercúrio)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35- Adjudicação e homologação (por escrito) da autoridade competente (art. 71, inciso IV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36- Publicação da homologação no DOE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37- Informação encaminhando processo para a Contabilidade para empenhamento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38- Contabilidade anexa a(s) Nota(s) de Empenho e providencia o(s) contrato(s), se for o caso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39- Publicação do(s) contrato(s) no DOE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* Qualquer alteração no edital, inclusive nova data para realização da disputa, deve ser divulgada nos mesmos meios de divulgação do edital.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  <w:r>
        <w:rPr>
          <w:rFonts w:cs="CenturyGothic,Bold" w:ascii="CenturyGothic,Bold" w:hAnsi="CenturyGothic,Bold"/>
          <w:b/>
          <w:bCs/>
          <w:sz w:val="16"/>
          <w:szCs w:val="16"/>
          <w:highlight w:val="yellow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  <w:r>
        <w:rPr>
          <w:rFonts w:cs="CenturyGothic,Bold" w:ascii="CenturyGothic,Bold" w:hAnsi="CenturyGothic,Bold"/>
          <w:b/>
          <w:bCs/>
          <w:sz w:val="16"/>
          <w:szCs w:val="16"/>
          <w:highlight w:val="yellow"/>
        </w:rPr>
      </w:r>
    </w:p>
    <w:tbl>
      <w:tblPr>
        <w:tblStyle w:val="Tabelacomgrade"/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7"/>
        <w:gridCol w:w="6343"/>
        <w:gridCol w:w="994"/>
        <w:gridCol w:w="991"/>
        <w:gridCol w:w="991"/>
        <w:gridCol w:w="992"/>
      </w:tblGrid>
      <w:tr>
        <w:trPr>
          <w:trHeight w:val="708" w:hRule="exact"/>
        </w:trPr>
        <w:tc>
          <w:tcPr>
            <w:tcW w:w="6770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Fornecedor (identificação e CNPJ)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1012" w:hRule="exact"/>
        </w:trPr>
        <w:tc>
          <w:tcPr>
            <w:tcW w:w="42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Certidões Julgamento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0"/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SICAF NÍVEL 1 ao 6 (aviso)</w:t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  <w:commentRangeEnd w:id="0"/>
            <w:r>
              <w:commentReference w:id="0"/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. </w:t>
            </w:r>
            <w:r>
              <w:rPr>
                <w:rFonts w:eastAsia="Calibri" w:cs="CenturyGothic,Bold" w:ascii="CenturyGothic,Bold" w:hAnsi="CenturyGothic,Bold"/>
                <w:b/>
                <w:bCs/>
                <w:i/>
                <w:kern w:val="0"/>
                <w:sz w:val="20"/>
                <w:szCs w:val="20"/>
                <w:lang w:val="pt-BR" w:eastAsia="en-US" w:bidi="ar-SA"/>
              </w:rPr>
              <w:t>1. Credenciamento; 2. Hab. Jurídica; 3. Reg. Fiscal e Trabalhista Fed.; 4. Reg. Fiscal Estad./Distrital e Municip.; 5. Qualif. Técnica; 6. Qualif. Econômico-Financeira.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CEIS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CNEP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1"/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CNCIAI (licitante e sócio) (edital)</w:t>
            </w:r>
            <w:commentRangeEnd w:id="1"/>
            <w:r>
              <w:commentReference w:id="1"/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e-Sanções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CEEP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TCE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restart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Habilitação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Habilitação Jurídica (TR) </w:t>
            </w:r>
            <w:r>
              <w:rPr>
                <w:rFonts w:eastAsia="Calibri" w:cs="CenturyGothic,Bold" w:ascii="CenturyGothic,Bold" w:hAnsi="CenturyGothic,Bold"/>
                <w:b/>
                <w:bCs/>
                <w:color w:val="FF0000"/>
                <w:kern w:val="0"/>
                <w:sz w:val="20"/>
                <w:szCs w:val="20"/>
                <w:lang w:val="pt-BR" w:eastAsia="en-US" w:bidi="ar-SA"/>
              </w:rPr>
              <w:t>SICAF NÍVEL 2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CNPJ/CPF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CND Federal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CRF – FGTS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CNDT – Trabalhista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Inscr. Est. e/ou Mun.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Reg. Fiscal Est ou Mun.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Declaração isenção tributos, se for o caso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Cert. Neg. Insolvência (TR, se pessoa física)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Cert. Falência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499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Demonstrações contábeis dos 2 últimos anos (TR) </w:t>
            </w:r>
            <w:r>
              <w:rPr>
                <w:rFonts w:eastAsia="Calibri" w:cs="CenturyGothic,Bold" w:ascii="CenturyGothic,Bold" w:hAnsi="CenturyGothic,Bold"/>
                <w:b/>
                <w:bCs/>
                <w:color w:val="FF0000"/>
                <w:kern w:val="0"/>
                <w:sz w:val="20"/>
                <w:szCs w:val="20"/>
                <w:lang w:val="pt-BR" w:eastAsia="en-US" w:bidi="ar-SA"/>
              </w:rPr>
              <w:t>SICAF NÍVEL 6</w:t>
            </w:r>
          </w:p>
        </w:tc>
        <w:tc>
          <w:tcPr>
            <w:tcW w:w="994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Registro ent. Profis. (TR)</w:t>
            </w:r>
          </w:p>
        </w:tc>
        <w:tc>
          <w:tcPr>
            <w:tcW w:w="994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Atestado Capacidade Técnica (TR)</w:t>
            </w:r>
          </w:p>
        </w:tc>
        <w:tc>
          <w:tcPr>
            <w:tcW w:w="994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4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restart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Proposta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Valor unitário ou total de acordo com o edital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719" w:hRule="exact"/>
        </w:trPr>
        <w:tc>
          <w:tcPr>
            <w:tcW w:w="427" w:type="dxa"/>
            <w:vMerge w:val="continue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Conta no Banco do Brasil </w:t>
            </w:r>
            <w:r>
              <w:rPr>
                <w:rFonts w:eastAsia="Calibri" w:cs="CenturyGothic,Bold" w:ascii="CenturyGothic,Bold" w:hAnsi="CenturyGothic,Bold"/>
                <w:b/>
                <w:bCs/>
                <w:i/>
                <w:iCs/>
                <w:kern w:val="0"/>
                <w:sz w:val="20"/>
                <w:szCs w:val="20"/>
                <w:lang w:val="pt-BR" w:eastAsia="en-US" w:bidi="ar-SA"/>
              </w:rPr>
              <w:t>(Decreto 66.000 de 09/09/2021 – Válido até 28/09/2027) – Obrigatório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Marca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</w:tbl>
    <w:p>
      <w:pPr>
        <w:sectPr>
          <w:type w:val="nextPage"/>
          <w:pgSz w:w="11906" w:h="16838"/>
          <w:pgMar w:left="1134" w:right="567" w:gutter="0" w:header="0" w:top="567" w:footer="0" w:bottom="851"/>
          <w:pgNumType w:fmt="decimal"/>
          <w:formProt w:val="false"/>
          <w:textDirection w:val="lrTb"/>
          <w:docGrid w:type="default" w:linePitch="360" w:charSpace="8192"/>
        </w:sectPr>
      </w:pPr>
    </w:p>
    <w:p>
      <w:pPr>
        <w:sectPr>
          <w:type w:val="nextPage"/>
          <w:pgSz w:w="11906" w:h="16838"/>
          <w:pgMar w:left="1134" w:right="567" w:gutter="0" w:header="0" w:top="567" w:footer="0" w:bottom="851"/>
          <w:pgNumType w:fmt="decimal"/>
          <w:formProt w:val="false"/>
          <w:textDirection w:val="lrTb"/>
          <w:docGrid w:type="default" w:linePitch="360" w:charSpace="8192"/>
        </w:sect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  <w:r>
        <w:br w:type="page"/>
      </w:r>
    </w:p>
    <w:tbl>
      <w:tblPr>
        <w:tblW w:w="11199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862"/>
        <w:gridCol w:w="4153"/>
        <w:gridCol w:w="2184"/>
      </w:tblGrid>
      <w:tr>
        <w:trPr/>
        <w:tc>
          <w:tcPr>
            <w:tcW w:w="4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pageBreakBefore/>
              <w:widowControl/>
              <w:spacing w:lineRule="auto" w:line="331" w:before="0" w:after="0"/>
              <w:rPr/>
            </w:pPr>
            <w:r>
              <w:rPr>
                <w:rFonts w:cs="CenturyGothic,Bold" w:ascii="Arial;sans-serif" w:hAnsi="Arial;sans-serif"/>
                <w:bCs/>
                <w:sz w:val="32"/>
                <w:szCs w:val="16"/>
              </w:rPr>
              <w:t>{{ numero_sei }}</w:t>
            </w:r>
          </w:p>
        </w:tc>
        <w:tc>
          <w:tcPr>
            <w:tcW w:w="41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/>
            </w:pPr>
            <w:r>
              <w:rPr>
                <w:rFonts w:cs="CenturyGothic,Bold" w:ascii="Arial;sans-serif" w:hAnsi="Arial;sans-serif"/>
                <w:bCs/>
                <w:sz w:val="32"/>
                <w:szCs w:val="16"/>
              </w:rPr>
              <w:t>{{ numero_compra }}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/>
            </w:pPr>
            <w:r>
              <w:rPr>
                <w:rFonts w:cs="CenturyGothic,Bold" w:ascii="Arial;sans-serif" w:hAnsi="Arial;sans-serif"/>
                <w:bCs/>
                <w:szCs w:val="16"/>
              </w:rPr>
              <w:t>{{ nome_agente_contratacao }}</w:t>
            </w:r>
          </w:p>
        </w:tc>
      </w:tr>
      <w:tr>
        <w:trPr/>
        <w:tc>
          <w:tcPr>
            <w:tcW w:w="4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/>
            </w:pPr>
            <w:r>
              <w:rPr>
                <w:rFonts w:cs="CenturyGothic,Bold" w:ascii="Arial;sans-serif" w:hAnsi="Arial;sans-serif"/>
                <w:bCs/>
                <w:szCs w:val="16"/>
              </w:rPr>
              <w:t>{{ modalidade }}</w:t>
            </w:r>
          </w:p>
          <w:p>
            <w:pPr>
              <w:pStyle w:val="Contedodatabela"/>
              <w:widowControl/>
              <w:spacing w:lineRule="auto" w:line="331" w:before="0" w:after="0"/>
              <w:rPr/>
            </w:pPr>
            <w:r>
              <w:rPr>
                <w:rFonts w:cs="CenturyGothic,Bold" w:ascii="Arial;sans-serif" w:hAnsi="Arial;sans-serif"/>
                <w:bCs/>
                <w:szCs w:val="16"/>
              </w:rPr>
              <w:t>{{ tipo }}</w:t>
            </w:r>
          </w:p>
        </w:tc>
        <w:tc>
          <w:tcPr>
            <w:tcW w:w="41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4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/>
            </w:pPr>
            <w:r>
              <w:rPr>
                <w:rFonts w:cs="CenturyGothic,Bold" w:ascii="Arial;sans-serif" w:hAnsi="Arial;sans-serif"/>
                <w:bCs/>
              </w:rPr>
              <w:t>{{ objeto }}</w:t>
            </w:r>
          </w:p>
        </w:tc>
        <w:tc>
          <w:tcPr>
            <w:tcW w:w="41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/>
            </w:pPr>
            <w:r>
              <w:rPr>
                <w:rFonts w:cs="CenturyGothic,Bold" w:ascii="Arial;sans-serif" w:hAnsi="Arial;sans-serif"/>
                <w:bCs/>
                <w:sz w:val="20"/>
                <w:szCs w:val="16"/>
              </w:rPr>
              <w:t>{{ valor_total_previsto_brl }}</w:t>
            </w:r>
          </w:p>
        </w:tc>
      </w:tr>
    </w:tbl>
    <w:p>
      <w:pPr>
        <w:pStyle w:val="Normal"/>
        <w:spacing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before="0" w:after="0"/>
        <w:rPr/>
      </w:pPr>
      <w:r>
        <w:rPr/>
      </w:r>
    </w:p>
    <w:tbl>
      <w:tblPr>
        <w:tblW w:w="11199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3649"/>
        <w:gridCol w:w="1856"/>
        <w:gridCol w:w="2160"/>
        <w:gridCol w:w="1350"/>
        <w:gridCol w:w="2183"/>
      </w:tblGrid>
      <w:tr>
        <w:trPr/>
        <w:tc>
          <w:tcPr>
            <w:tcW w:w="36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Contedodatabela"/>
              <w:widowControl/>
              <w:suppressAutoHyphens w:val="true"/>
              <w:bidi w:val="0"/>
              <w:spacing w:lineRule="auto" w:line="240" w:before="0" w:after="200"/>
              <w:jc w:val="left"/>
              <w:rPr>
                <w:rFonts w:ascii="Calibri" w:hAnsi="Calibri" w:eastAsia="Calibri" w:cs="" w:asciiTheme="minorHAnsi" w:cstheme="minorBidi" w:eastAsiaTheme="minorHAnsi" w:hAnsi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 w:ascii="Calibri" w:hAnsi="Calibri"/>
                <w:color w:val="auto"/>
                <w:kern w:val="0"/>
                <w:sz w:val="16"/>
                <w:szCs w:val="22"/>
                <w:lang w:val="pt-BR" w:eastAsia="en-US" w:bidi="ar-SA"/>
              </w:rPr>
            </w:r>
          </w:p>
        </w:tc>
        <w:tc>
          <w:tcPr>
            <w:tcW w:w="18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Contedodatabela"/>
              <w:widowControl/>
              <w:suppressAutoHyphens w:val="true"/>
              <w:bidi w:val="0"/>
              <w:spacing w:lineRule="auto" w:line="240" w:before="0" w:after="200"/>
              <w:jc w:val="center"/>
              <w:rPr>
                <w:rFonts w:ascii="Calibri" w:hAnsi="Calibri" w:eastAsia="Calibri" w:cs="" w:asciiTheme="minorHAnsi" w:cstheme="minorBidi" w:eastAsiaTheme="minorHAnsi" w:hAnsi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 w:ascii="Calibri" w:hAnsi="Calibri"/>
                <w:color w:val="auto"/>
                <w:kern w:val="0"/>
                <w:sz w:val="16"/>
                <w:szCs w:val="22"/>
                <w:lang w:val="pt-BR" w:eastAsia="en-US" w:bidi="ar-SA"/>
              </w:rPr>
              <w:t>TERMO DE   REFERÊNCIA</w:t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57" w:after="257"/>
              <w:jc w:val="left"/>
              <w:rPr>
                <w:sz w:val="16"/>
                <w:szCs w:val="16"/>
              </w:rPr>
            </w:pPr>
            <w:r>
              <w:rPr>
                <w:rFonts w:cstheme="minorBidi" w:eastAsiaTheme="minorHAnsi"/>
                <w:sz w:val="16"/>
                <w:szCs w:val="16"/>
              </w:rPr>
              <w:t xml:space="preserve">[    ] </w:t>
            </w:r>
            <w:r>
              <w:rPr>
                <w:rFonts w:cstheme="minorBidi" w:eastAsiaTheme="minorHAnsi"/>
                <w:sz w:val="16"/>
                <w:szCs w:val="16"/>
              </w:rPr>
              <w:t>8.32 Consórcio</w:t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57" w:after="257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    ] 8.3</w:t>
            </w:r>
            <w:r>
              <w:rPr>
                <w:sz w:val="16"/>
                <w:szCs w:val="16"/>
              </w:rPr>
              <w:t>3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ooperativa</w:t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57" w:after="257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[    ] </w:t>
            </w:r>
            <w:r>
              <w:rPr>
                <w:sz w:val="16"/>
                <w:szCs w:val="16"/>
              </w:rPr>
              <w:t>4.</w:t>
            </w:r>
            <w:r>
              <w:rPr>
                <w:sz w:val="16"/>
                <w:szCs w:val="16"/>
              </w:rPr>
              <w:t>4 Garantia</w:t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57" w:after="257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[    ] </w:t>
            </w:r>
            <w:r>
              <w:rPr>
                <w:sz w:val="16"/>
                <w:szCs w:val="16"/>
              </w:rPr>
              <w:t>4.7 Vistoria</w:t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0" w:after="200"/>
              <w:jc w:val="left"/>
              <w:rPr>
                <w:rFonts w:ascii="Calibri" w:hAnsi="Calibri" w:eastAsia="Calibri" w:cs="" w:asciiTheme="minorHAnsi" w:cstheme="minorBidi" w:eastAsiaTheme="minorHAnsi" w:hAnsi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 w:ascii="Calibri" w:hAnsi="Calibri"/>
                <w:color w:val="auto"/>
                <w:kern w:val="0"/>
                <w:sz w:val="16"/>
                <w:szCs w:val="22"/>
                <w:lang w:val="pt-BR" w:eastAsia="en-US" w:bidi="ar-SA"/>
              </w:rPr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0" w:after="200"/>
              <w:jc w:val="left"/>
              <w:rPr>
                <w:rFonts w:ascii="Calibri" w:hAnsi="Calibri" w:eastAsia="Calibri" w:cs="" w:asciiTheme="minorHAnsi" w:cstheme="minorBidi" w:eastAsiaTheme="minorHAnsi" w:hAnsi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 w:ascii="Calibri" w:hAnsi="Calibri"/>
                <w:color w:val="auto"/>
                <w:kern w:val="0"/>
                <w:sz w:val="16"/>
                <w:szCs w:val="22"/>
                <w:lang w:val="pt-BR" w:eastAsia="en-US" w:bidi="ar-SA"/>
              </w:rPr>
              <w:t>CONTRATO</w:t>
              <w:br/>
            </w:r>
            <w:r>
              <w:rPr>
                <w:rFonts w:eastAsia="Calibri" w:cs="" w:cstheme="minorBidi" w:eastAsiaTheme="minorHAnsi" w:ascii="Calibri" w:hAnsi="Calibri"/>
                <w:color w:val="auto"/>
                <w:kern w:val="0"/>
                <w:sz w:val="16"/>
                <w:szCs w:val="16"/>
                <w:lang w:val="pt-BR" w:eastAsia="en-US" w:bidi="ar-SA"/>
              </w:rPr>
              <w:t>[    ] 7.10.4 Garantia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ontedodatabela"/>
              <w:widowControl/>
              <w:suppressAutoHyphens w:val="true"/>
              <w:bidi w:val="0"/>
              <w:spacing w:lineRule="auto" w:line="240" w:before="0" w:after="200"/>
              <w:jc w:val="center"/>
              <w:rPr>
                <w:rFonts w:ascii="Calibri" w:hAnsi="Calibri" w:eastAsia="Calibri" w:cs="" w:asciiTheme="minorHAnsi" w:cstheme="minorBidi" w:eastAsiaTheme="minorHAnsi" w:hAnsi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 w:ascii="Calibri" w:hAnsi="Calibri"/>
                <w:color w:val="auto"/>
                <w:kern w:val="0"/>
                <w:sz w:val="16"/>
                <w:szCs w:val="22"/>
                <w:lang w:val="pt-BR" w:eastAsia="en-US" w:bidi="ar-SA"/>
              </w:rPr>
              <w:t>EDITAL</w:t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57" w:after="257"/>
              <w:jc w:val="left"/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  <w:t xml:space="preserve">[    ] 3.7.10  </w:t>
            </w:r>
            <w:r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  <w:t xml:space="preserve">3.8.2 </w:t>
            </w:r>
            <w:r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  <w:t>C</w:t>
            </w:r>
            <w:r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  <w:t xml:space="preserve">onsórcio </w:t>
              <w:br/>
              <w:br/>
              <w:t xml:space="preserve">[   ] 3.8.1 </w:t>
            </w:r>
            <w:r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  <w:t>C</w:t>
            </w:r>
            <w:r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  <w:t>ooperativa</w:t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57" w:after="257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[    ] </w:t>
            </w:r>
            <w:r>
              <w:rPr>
                <w:sz w:val="16"/>
                <w:szCs w:val="16"/>
              </w:rPr>
              <w:t xml:space="preserve">7.10.4 Garantia </w:t>
            </w:r>
            <w:r>
              <w:rPr>
                <w:sz w:val="16"/>
                <w:szCs w:val="16"/>
              </w:rPr>
              <w:t>Engª</w:t>
            </w:r>
            <w:r>
              <w:rPr>
                <w:sz w:val="16"/>
                <w:szCs w:val="16"/>
              </w:rPr>
              <w:t xml:space="preserve"> </w:t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57" w:after="257"/>
              <w:jc w:val="left"/>
              <w:rPr/>
            </w:pPr>
            <w:r>
              <w:rPr>
                <w:sz w:val="16"/>
                <w:szCs w:val="16"/>
              </w:rPr>
              <w:t xml:space="preserve">[    ] </w:t>
            </w:r>
            <w:r>
              <w:rPr>
                <w:sz w:val="16"/>
                <w:szCs w:val="16"/>
              </w:rPr>
              <w:t>8.10 Vistoria</w:t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57" w:after="257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57" w:after="257"/>
              <w:jc w:val="left"/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  <w:t>[   ]  3.5 Exclusivo EPP</w:t>
            </w:r>
          </w:p>
        </w:tc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Demanda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TR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Minuta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Objeto</w:t>
            </w:r>
          </w:p>
          <w:p>
            <w:pPr>
              <w:pStyle w:val="Contedodatabela"/>
              <w:widowControl/>
              <w:spacing w:lineRule="auto" w:line="240" w:before="0" w:after="20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Grade</w:t>
            </w:r>
          </w:p>
        </w:tc>
        <w:tc>
          <w:tcPr>
            <w:tcW w:w="21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Reserva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Disputa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Conferência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Adequação Reserva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Conferência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color w:val="000000"/>
                <w:sz w:val="16"/>
                <w:szCs w:val="16"/>
              </w:rPr>
              <w:t>☐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Liberação compra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color w:val="000000"/>
                <w:sz w:val="16"/>
                <w:szCs w:val="16"/>
              </w:rPr>
              <w:t>☐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Certidões</w:t>
            </w:r>
          </w:p>
          <w:p>
            <w:pPr>
              <w:pStyle w:val="Contedodatabela"/>
              <w:widowControl/>
              <w:spacing w:lineRule="auto" w:line="240" w:before="0" w:after="200"/>
              <w:ind w:right="113"/>
              <w:rPr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Empenho</w:t>
            </w:r>
          </w:p>
        </w:tc>
      </w:tr>
    </w:tbl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  <w:br/>
      </w:r>
      <w:r>
        <w:rPr>
          <w:rFonts w:cs="CenturyGothic,Bold" w:ascii="CenturyGothic,Bold" w:hAnsi="CenturyGothic,Bold"/>
          <w:b/>
          <w:bCs/>
          <w:sz w:val="16"/>
          <w:szCs w:val="16"/>
        </w:rPr>
        <w:br/>
        <w:br/>
        <w:br/>
        <w:br/>
        <w:br/>
      </w:r>
    </w:p>
    <w:tbl>
      <w:tblPr>
        <w:tblW w:w="11199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1079"/>
        <w:gridCol w:w="1351"/>
        <w:gridCol w:w="450"/>
        <w:gridCol w:w="495"/>
        <w:gridCol w:w="854"/>
        <w:gridCol w:w="4157"/>
        <w:gridCol w:w="1172"/>
        <w:gridCol w:w="925"/>
        <w:gridCol w:w="358"/>
        <w:gridCol w:w="357"/>
      </w:tblGrid>
      <w:tr>
        <w:trPr/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Demanda</w:t>
            </w:r>
          </w:p>
        </w:tc>
        <w:tc>
          <w:tcPr>
            <w:tcW w:w="13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 xml:space="preserve">Centro Gerencial </w:t>
              <w:br/>
              <w:t>Grupo Orçamentário</w:t>
            </w:r>
          </w:p>
        </w:tc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#</w:t>
            </w:r>
          </w:p>
        </w:tc>
        <w:tc>
          <w:tcPr>
            <w:tcW w:w="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Qtd</w:t>
            </w:r>
          </w:p>
        </w:tc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Código Compras GOV</w:t>
            </w:r>
          </w:p>
        </w:tc>
        <w:tc>
          <w:tcPr>
            <w:tcW w:w="4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Descrição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Valor unitário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Item de despesa</w:t>
            </w:r>
          </w:p>
        </w:tc>
        <w:tc>
          <w:tcPr>
            <w:tcW w:w="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TRP</w:t>
            </w:r>
          </w:p>
        </w:tc>
        <w:tc>
          <w:tcPr>
            <w:tcW w:w="3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TR</w:t>
            </w:r>
          </w:p>
        </w:tc>
      </w:tr>
      <w:tr>
        <w:trPr>
          <w:trHeight w:val="387" w:hRule="atLeast"/>
        </w:trPr>
        <w:tc>
          <w:tcPr>
            <w:tcW w:w="11198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spacing w:before="0" w:after="200"/>
              <w:rPr>
                <w:lang w:val="en-US"/>
              </w:rPr>
            </w:pPr>
            <w:r>
              <w:rPr>
                <w:color w:val="2A6099"/>
                <w:sz w:val="12"/>
                <w:szCs w:val="12"/>
                <w:lang w:val="en-US"/>
              </w:rPr>
              <w:t>{%tr for item in itens %}</w:t>
            </w:r>
          </w:p>
        </w:tc>
      </w:tr>
      <w:tr>
        <w:trPr/>
        <w:tc>
          <w:tcPr>
            <w:tcW w:w="107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item.numero_demanda }}</w:t>
            </w:r>
          </w:p>
        </w:tc>
        <w:tc>
          <w:tcPr>
            <w:tcW w:w="13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item.centro_gerencial }}</w:t>
              <w:br/>
              <w:t>{{ item.grupo_orcamentario }}</w:t>
            </w:r>
          </w:p>
        </w:tc>
        <w:tc>
          <w:tcPr>
            <w:tcW w:w="4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item.numero_ordem }}</w:t>
            </w:r>
          </w:p>
        </w:tc>
        <w:tc>
          <w:tcPr>
            <w:tcW w:w="4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sz w:val="16"/>
                <w:szCs w:val="16"/>
              </w:rPr>
              <w:t xml:space="preserve">{{ </w:t>
            </w:r>
            <w:r>
              <w:rPr>
                <w:rFonts w:cs="CenturyGothic,Bold"/>
                <w:bCs/>
                <w:sz w:val="16"/>
                <w:szCs w:val="16"/>
              </w:rPr>
              <w:t>item.</w:t>
            </w:r>
            <w:r>
              <w:rPr>
                <w:rFonts w:cs="CenturyGothic,Bold"/>
                <w:sz w:val="16"/>
                <w:szCs w:val="16"/>
              </w:rPr>
              <w:t>quantidade }}</w:t>
            </w:r>
          </w:p>
        </w:tc>
        <w:tc>
          <w:tcPr>
            <w:tcW w:w="8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item.codigo_comprasgov }}</w:t>
            </w:r>
          </w:p>
        </w:tc>
        <w:tc>
          <w:tcPr>
            <w:tcW w:w="41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 xml:space="preserve"> </w:t>
            </w:r>
            <w:r>
              <w:rPr>
                <w:rFonts w:cs="CenturyGothic,Bold"/>
                <w:bCs/>
                <w:sz w:val="16"/>
                <w:szCs w:val="16"/>
              </w:rPr>
              <w:t>{{ item.descricao }}</w:t>
            </w:r>
          </w:p>
        </w:tc>
        <w:tc>
          <w:tcPr>
            <w:tcW w:w="1172" w:type="dxa"/>
            <w:tcBorders>
              <w:left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item.valor_unitario_previsto_brl }}</w:t>
            </w:r>
          </w:p>
        </w:tc>
        <w:tc>
          <w:tcPr>
            <w:tcW w:w="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item.item_despesa }}</w:t>
            </w:r>
          </w:p>
        </w:tc>
        <w:tc>
          <w:tcPr>
            <w:tcW w:w="35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cs="CenturyGothic,Bold"/>
                <w:bCs/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</w:r>
          </w:p>
        </w:tc>
      </w:tr>
      <w:tr>
        <w:trPr/>
        <w:tc>
          <w:tcPr>
            <w:tcW w:w="11198" w:type="dxa"/>
            <w:gridSpan w:val="10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color w:val="2A6099"/>
                <w:sz w:val="12"/>
                <w:szCs w:val="12"/>
              </w:rPr>
              <w:t>{%tr endfor %}</w:t>
            </w:r>
          </w:p>
        </w:tc>
      </w:tr>
    </w:tbl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sectPr>
      <w:type w:val="nextPage"/>
      <w:pgSz w:w="11906" w:h="16838"/>
      <w:pgMar w:left="284" w:right="284" w:gutter="0" w:header="0" w:top="567" w:footer="0" w:bottom="567"/>
      <w:pgNumType w:fmt="decimal"/>
      <w:formProt w:val="false"/>
      <w:textDirection w:val="lrTb"/>
      <w:docGrid w:type="default" w:linePitch="360" w:charSpace="8192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Kleber" w:date="2024-08-14T08:02:00Z" w:initials="K"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sz w:val="24"/>
          <w:szCs w:val="24"/>
          <w:lang w:val="en-US" w:eastAsia="en-US" w:bidi="en-US"/>
        </w:rPr>
        <w:t xml:space="preserve">Dentro de cada nível estão elencadas as documentações que foram apresentadas pela empresa. Dessa forma, somente será(ão) dispensada(s) a(s) certidão(ões) apresentada(s) e que esteja(m) válida(s) no momento da sessão pública, quando for o caso. </w:t>
      </w:r>
    </w:p>
  </w:comment>
  <w:comment w:id="1" w:author="Kleber" w:date="2025-06-18T11:03:00Z" w:initials="K"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sz w:val="24"/>
          <w:szCs w:val="24"/>
          <w:lang w:val="en-US" w:eastAsia="en-US" w:bidi="en-US"/>
        </w:rPr>
        <w:t xml:space="preserve">O sócio poderá ser tanto um CPF quanto um CNPJ. 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enturyGothic">
    <w:altName w:val="Bold"/>
    <w:charset w:val="01"/>
    <w:family w:val="swiss"/>
    <w:pitch w:val="variable"/>
  </w:font>
  <w:font w:name="CenturyGothic">
    <w:charset w:val="01"/>
    <w:family w:val="swiss"/>
    <w:pitch w:val="variable"/>
  </w:font>
  <w:font w:name="Arial">
    <w:altName w:val="sans-serif"/>
    <w:charset w:val="01"/>
    <w:family w:val="swiss"/>
    <w:pitch w:val="variable"/>
  </w:font>
  <w:font w:name="Calibri">
    <w:charset w:val="01"/>
    <w:family w:val="roman"/>
    <w:pitch w:val="variable"/>
  </w:font>
  <w:font w:name="MS Gothic">
    <w:charset w:val="01"/>
    <w:family w:val="roman"/>
    <w:pitch w:val="variable"/>
  </w:font>
  <w:font w:name="CenturyGothic">
    <w:altName w:val="Bold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Arial" w:eastAsia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Calibri" w:cs="Arial" w:eastAsia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704c99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b35795"/>
    <w:rPr/>
  </w:style>
  <w:style w:type="character" w:styleId="RodapChar" w:customStyle="1">
    <w:name w:val="Rodapé Char"/>
    <w:basedOn w:val="DefaultParagraphFont"/>
    <w:link w:val="Footer"/>
    <w:uiPriority w:val="99"/>
    <w:qFormat/>
    <w:rsid w:val="00b35795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f3821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CommentText"/>
    <w:uiPriority w:val="99"/>
    <w:semiHidden/>
    <w:qFormat/>
    <w:rsid w:val="00df3821"/>
    <w:rPr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de16af"/>
    <w:rPr>
      <w:b/>
      <w:bCs/>
      <w:sz w:val="20"/>
      <w:szCs w:val="20"/>
    </w:rPr>
  </w:style>
  <w:style w:type="character" w:styleId="CorpodetextoChar" w:customStyle="1">
    <w:name w:val="Corpo de texto Char"/>
    <w:basedOn w:val="DefaultParagraphFont"/>
    <w:qFormat/>
    <w:rsid w:val="00723458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723458"/>
    <w:pPr>
      <w:spacing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704c9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3579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b3579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900e81"/>
    <w:pPr>
      <w:spacing w:before="0" w:after="200"/>
      <w:ind w:left="720"/>
      <w:contextualSpacing/>
    </w:pPr>
    <w:rPr/>
  </w:style>
  <w:style w:type="paragraph" w:styleId="CommentText">
    <w:name w:val="annotation text"/>
    <w:basedOn w:val="Normal"/>
    <w:link w:val="TextodecomentrioChar"/>
    <w:uiPriority w:val="99"/>
    <w:semiHidden/>
    <w:unhideWhenUsed/>
    <w:rsid w:val="00df382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de16af"/>
    <w:pPr/>
    <w:rPr>
      <w:b/>
      <w:bCs/>
    </w:rPr>
  </w:style>
  <w:style w:type="paragraph" w:styleId="Contedodatabela" w:customStyle="1">
    <w:name w:val="Conteúdo da tabela"/>
    <w:basedOn w:val="Normal"/>
    <w:qFormat/>
    <w:rsid w:val="00723458"/>
    <w:pPr>
      <w:widowControl w:val="false"/>
      <w:suppressLineNumbers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091c1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9FF35A-3FEC-4712-9FB4-5DA161305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Application>LibreOffice/25.2.3.2$Linux_X86_64 LibreOffice_project/520$Build-2</Application>
  <AppVersion>15.0000</AppVersion>
  <Pages>6</Pages>
  <Words>1466</Words>
  <Characters>8036</Characters>
  <CharactersWithSpaces>9408</CharactersWithSpaces>
  <Paragraphs>174</Paragraphs>
  <Company>FFCLRP - USP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2024-08-16T12:43:00Z</dcterms:created>
  <dc:creator>Eduardo</dc:creator>
  <dc:description/>
  <dc:language>en-US</dc:language>
  <cp:lastModifiedBy/>
  <cp:lastPrinted>2017-04-10T11:25:00Z</cp:lastPrinted>
  <dcterms:modified xsi:type="dcterms:W3CDTF">2026-06-30T14:29:06Z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