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rPr>
          <w:rFonts w:ascii="CenturyGothic,Bold" w:hAnsi="CenturyGothic,Bold" w:cs="CenturyGothic,Bold"/>
          <w:b/>
          <w:bCs/>
          <w:sz w:val="20"/>
          <w:szCs w:val="20"/>
        </w:rPr>
      </w:pPr>
      <w:r>
        <w:rPr>
          <w:rFonts w:cs="CenturyGothic,Bold" w:ascii="CenturyGothic,Bold" w:hAnsi="CenturyGothic,Bold"/>
          <w:b/>
          <w:bCs/>
          <w:sz w:val="20"/>
          <w:szCs w:val="20"/>
        </w:rPr>
        <w:t xml:space="preserve">DISPENSA SEM DISPUTA Nº _____/______, Processo SEI nº {{  numero_sei }}  </w:t>
      </w:r>
    </w:p>
    <w:p>
      <w:pPr>
        <w:pStyle w:val="Normal"/>
        <w:spacing w:lineRule="auto" w:line="240" w:before="120" w:after="0"/>
        <w:rPr>
          <w:rFonts w:ascii="CenturyGothic,Bold" w:hAnsi="CenturyGothic,Bold" w:cs="CenturyGothic,Bold"/>
          <w:b/>
          <w:bCs/>
          <w:sz w:val="20"/>
          <w:szCs w:val="20"/>
        </w:rPr>
      </w:pPr>
      <w:r>
        <w:rPr>
          <w:rFonts w:cs="CenturyGothic,Bold" w:ascii="CenturyGothic,Bold" w:hAnsi="CenturyGothic,Bold"/>
          <w:b/>
          <w:bCs/>
          <w:sz w:val="20"/>
          <w:szCs w:val="20"/>
        </w:rPr>
        <w:t>COMPRA n. {{ numero_compra }} Finalidade: {{ objeto }}</w:t>
      </w:r>
    </w:p>
    <w:tbl>
      <w:tblPr>
        <w:tblStyle w:val="Tabelacomgrade"/>
        <w:tblW w:w="1035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783"/>
        <w:gridCol w:w="318"/>
        <w:gridCol w:w="706"/>
        <w:gridCol w:w="7417"/>
        <w:gridCol w:w="1134"/>
      </w:tblGrid>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 Documento de formalização da demanda (DFD) (art. 12, inciso VII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restart"/>
            <w:tcBorders/>
            <w:textDirection w:val="btLr"/>
            <w:vAlign w:val="center"/>
          </w:tcPr>
          <w:p>
            <w:pPr>
              <w:pStyle w:val="Normal"/>
              <w:widowControl/>
              <w:suppressAutoHyphens w:val="true"/>
              <w:spacing w:lineRule="auto" w:line="240" w:before="0" w:after="60"/>
              <w:ind w:left="113" w:right="113"/>
              <w:jc w:val="center"/>
              <w:rPr>
                <w:rFonts w:ascii="CenturyGothic" w:hAnsi="CenturyGothic" w:cs="CenturyGothic"/>
                <w:sz w:val="20"/>
                <w:szCs w:val="20"/>
              </w:rPr>
            </w:pPr>
            <w:r>
              <w:rPr>
                <w:rFonts w:eastAsia="Calibri" w:cs="CenturyGothic" w:ascii="CenturyGothic" w:hAnsi="CenturyGothic"/>
                <w:kern w:val="0"/>
                <w:sz w:val="20"/>
                <w:szCs w:val="20"/>
                <w:lang w:val="pt-BR" w:eastAsia="en-US" w:bidi="ar-SA"/>
              </w:rPr>
              <w:t>Requisitos</w:t>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 – justificativa da necessidade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II – descrição sucinta do objeto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III – quantidade a ser contratada (consumo anual)</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IV – estimativa preliminar do valor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 – data pretendida para a conclusão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VI – grau de prioridade</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VII – vinculação a outro DFD?</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VIII – nome da área requisitante ou técnica e identificação do responsável</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IX  - Termo de referência preliminar (TR) (art. 6º., XXIII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 Estudo técnico preliminar (ETP) (art. 18, I e  §§1º., 2º. e 3º.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restart"/>
            <w:tcBorders/>
            <w:textDirection w:val="btLr"/>
            <w:vAlign w:val="center"/>
          </w:tcPr>
          <w:p>
            <w:pPr>
              <w:pStyle w:val="Normal"/>
              <w:widowControl/>
              <w:suppressAutoHyphens w:val="true"/>
              <w:spacing w:lineRule="auto" w:line="240" w:before="0" w:after="60"/>
              <w:ind w:left="113" w:right="113"/>
              <w:jc w:val="center"/>
              <w:rPr>
                <w:rFonts w:ascii="CenturyGothic" w:hAnsi="CenturyGothic" w:cs="CenturyGothic"/>
                <w:sz w:val="20"/>
                <w:szCs w:val="20"/>
              </w:rPr>
            </w:pPr>
            <w:r>
              <w:rPr>
                <w:rFonts w:eastAsia="Calibri" w:cs="CenturyGothic" w:ascii="CenturyGothic" w:hAnsi="CenturyGothic"/>
                <w:kern w:val="0"/>
                <w:sz w:val="20"/>
                <w:szCs w:val="20"/>
                <w:lang w:val="pt-BR" w:eastAsia="en-US" w:bidi="ar-SA"/>
              </w:rPr>
              <w:t>Requisitos</w:t>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I – descrição da necessidade da contratação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II – previsão da contratação no PCA</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III – requisitos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IV – estimativas das quantidades para contratação (memórias de cálculo)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 – levantamento de mercado (análise das alternativas e justificativa técnica e econômica da escolha)</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VI – estimativa do valor da contratação (preços unitários, memórias de cálculos, opção pelo sigilo ou não até a conclusão da licitação)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VII – descrição da solução (exigências de manutenção e assistência técnica, se for o caso)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VIII – justificativa para parcelamento ou não do objeto (art, 9º, VII da IN SEGES 58/2022)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IX – demonstrativo dos resultados pretendidos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X – providências prévias à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XI – contratações correlatas ou interdependentes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XII – descrição de impactos ambientais e medidas mitigadoras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XIII – posicionamento conclusivo sobre a contratação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3- Análise de risco preliminar (ARP) (art. 18, inciso X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4- Termo de referência final (TR) (art. 6º., XXIII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5- Autorização da autoridade competente para o início da fase preparatória (art. 1º., inciso I, item a da Portaria GR 8.321/2024 e art. 18 da Lei 14.133/2021) – documento elaborado pela Compras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6- Abertura de processo SEI (Decreto Estadual 67.641/2023)</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7- Designação do agente de contratação publicada no DOESP (art. 8º. Da Lei 14.133/2021, art. 1º., inciso I, item b da Portaria GR 8.321/2024 e Portaria GR 8.368/2024)</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8- Justificativa para contratação direta sem disputa (art. 8º., §1º. Do Decreto Estadual 68.304/2024)</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9- Solicitação de cotação para fornecedores (art. 23, §1º., IV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10- Pesquisa de preços – Valor estimado da contratação (art. 18, IV, 23, §1º., IV da Lei 14.133/2021 e Decreto Estadual 67.888/2023) – incluir e-mail e orçamentos, se for o caso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11- Pesquisa de preços – Justificativa de preços (art. 7º. Do Decreto Estadual 67.888/2023 e art. 72, VII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12- Grade de Preços – Sistema Mercúrio, com todas as cotações obtidas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13- Reserva(s) Financeira(s) (valor e centro de despesa) (art. 72, IV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14- Documento de Compra Mercúrio assinado pela autoridade competente que contém Justificativa técnica de enquadramento da contratação à hipótese do art. 75, I e II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restart"/>
            <w:tcBorders/>
            <w:textDirection w:val="btLr"/>
            <w:vAlign w:val="center"/>
          </w:tcPr>
          <w:p>
            <w:pPr>
              <w:pStyle w:val="Normal"/>
              <w:widowControl/>
              <w:suppressAutoHyphens w:val="true"/>
              <w:spacing w:lineRule="auto" w:line="240" w:before="0" w:after="60"/>
              <w:ind w:left="113" w:right="113"/>
              <w:jc w:val="center"/>
              <w:rPr>
                <w:rFonts w:ascii="CenturyGothic" w:hAnsi="CenturyGothic" w:cs="CenturyGothic"/>
                <w:sz w:val="20"/>
                <w:szCs w:val="20"/>
              </w:rPr>
            </w:pPr>
            <w:r>
              <w:rPr>
                <w:rFonts w:eastAsia="Calibri" w:cs="CenturyGothic" w:ascii="CenturyGothic" w:hAnsi="CenturyGothic"/>
                <w:kern w:val="0"/>
                <w:sz w:val="20"/>
                <w:szCs w:val="20"/>
                <w:lang w:val="pt-BR" w:eastAsia="en-US" w:bidi="ar-SA"/>
              </w:rPr>
              <w:t>Requisitos</w:t>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Definição do objeto (natureza, quantitativo, prazo do contrato e possibilidade de prorrogação)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Fundamentação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Descrição da solução (considerando o ciclo do objeto)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Requisitos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Modelo de execução do objeto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Modelo de gestão do contrato (fiscalização)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Critérios de medição e pagamento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Forma e critérios de seleção do fornecedor</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Estimativa de valor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Adequação orçamentária</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Utilizou modelo padronizado? (Decreto Estadual 68.185/2023)</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16- Documentos de habilitação </w:t>
            </w:r>
            <w:r>
              <w:rPr>
                <w:rFonts w:eastAsia="Calibri" w:cs="CenturyGothic" w:ascii="CenturyGothic" w:hAnsi="CenturyGothic"/>
                <w:b/>
                <w:kern w:val="0"/>
                <w:sz w:val="20"/>
                <w:szCs w:val="20"/>
                <w:lang w:val="pt-BR" w:eastAsia="en-US" w:bidi="ar-SA"/>
              </w:rPr>
              <w:t>(TR – ver quadro seguinte)</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17- Proposta original do fornecedor vencedor </w:t>
            </w:r>
            <w:r>
              <w:rPr>
                <w:rFonts w:eastAsia="Calibri" w:cs="CenturyGothic" w:ascii="CenturyGothic" w:hAnsi="CenturyGothic"/>
                <w:b/>
                <w:kern w:val="0"/>
                <w:sz w:val="20"/>
                <w:szCs w:val="20"/>
                <w:lang w:val="pt-BR" w:eastAsia="en-US" w:bidi="ar-SA"/>
              </w:rPr>
              <w:t>(ver quadro seguinte)</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1101" w:type="dxa"/>
            <w:gridSpan w:val="2"/>
            <w:vMerge w:val="restart"/>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18- Haverá contrato?</w:t>
            </w:r>
          </w:p>
        </w:tc>
        <w:tc>
          <w:tcPr>
            <w:tcW w:w="706"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Não</w:t>
            </w:r>
          </w:p>
        </w:tc>
        <w:tc>
          <w:tcPr>
            <w:tcW w:w="7417"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Substituição do contrato por documento equivalente (Art. 95,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1101" w:type="dxa"/>
            <w:gridSpan w:val="2"/>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706"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Sim</w:t>
            </w:r>
          </w:p>
        </w:tc>
        <w:tc>
          <w:tcPr>
            <w:tcW w:w="7417"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Minuta de contrato (Arts. 89 a 95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1101" w:type="dxa"/>
            <w:gridSpan w:val="2"/>
            <w:vMerge w:val="restart"/>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19- Minuta do  contrato padrão?</w:t>
            </w:r>
          </w:p>
        </w:tc>
        <w:tc>
          <w:tcPr>
            <w:tcW w:w="706" w:type="dxa"/>
            <w:vMerge w:val="restart"/>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Não</w:t>
            </w:r>
          </w:p>
        </w:tc>
        <w:tc>
          <w:tcPr>
            <w:tcW w:w="7417"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Encaminhar o processo à Procuradoria Geral (PG) para parecer jurídico (art. 1º., §3º. da Portaria PG 12/2024)</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1101" w:type="dxa"/>
            <w:gridSpan w:val="2"/>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706"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7417"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Parecer da Procuradoria Geral (Art, 53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1101" w:type="dxa"/>
            <w:gridSpan w:val="2"/>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706"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SIm</w:t>
            </w:r>
          </w:p>
        </w:tc>
        <w:tc>
          <w:tcPr>
            <w:tcW w:w="7417"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Relatório de verificação (Portaria PG 12/2024) – utilização de minutas pré-aprovadas pelo órgão jurídico (art. 53, §5º.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20- despacho da Autoridade Competente autorizando a despesa (Art. 1º., inciso II, item h da Portaria GR 8.321/2024) e determinando a divulgação do ato de autorização no PNCP (Art. 53, §3º. da lei 14.133/2021 e art. 6º., §3º. do Decreto 68.304/2024)</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21- Publicação do ato de autorização no Portal Nacional de Compras Públicas – PNCP (art. 54 da Lei 14.133/2021 e art. 6º., §3º. do Decreto Estadual 68.304/2024)</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22- Adjudicação e homologação (por escrito) da autoridade competente (art. 71, inciso IV da Lei 14.133/2021) ou Termo de Homologação do Compras.gov.br</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23- Grade Proposta do Fornecedor Vencedor – </w:t>
            </w:r>
            <w:r>
              <w:rPr>
                <w:rFonts w:eastAsia="Calibri" w:cs="CenturyGothic" w:ascii="CenturyGothic" w:hAnsi="CenturyGothic"/>
                <w:b/>
                <w:kern w:val="0"/>
                <w:sz w:val="20"/>
                <w:szCs w:val="20"/>
                <w:lang w:val="pt-BR" w:eastAsia="en-US" w:bidi="ar-SA"/>
              </w:rPr>
              <w:t>Sistema Mercúrio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Bold" w:hAnsi="CenturyGothic,Bold" w:cs="CenturyGothic,Bold"/>
                <w:b/>
                <w:bCs/>
                <w:sz w:val="20"/>
                <w:szCs w:val="20"/>
              </w:rPr>
            </w:pPr>
            <w:r>
              <w:rPr>
                <w:rFonts w:eastAsia="Calibri" w:cs="CenturyGothic" w:ascii="CenturyGothic" w:hAnsi="CenturyGothic"/>
                <w:kern w:val="0"/>
                <w:sz w:val="20"/>
                <w:szCs w:val="20"/>
                <w:lang w:val="pt-BR" w:eastAsia="en-US" w:bidi="ar-SA"/>
              </w:rPr>
              <w:t>24- Documento da Compra com itens efetivados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25- Informação encaminhando à Seção de Contabilidade</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26- Contabilidade anexa a(s) Nota(s) de Empenho e providencia o(s) contrato(s), se for o caso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27- Publicação do contrato no PNCP e no DOE, se for o caso (art. 6º., §3º. do Decreto 68.304/2024)</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28- Parecer da contabilidade (processo e Mercúrio)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bl>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tbl>
      <w:tblPr>
        <w:tblStyle w:val="Tabelacomgrade"/>
        <w:tblW w:w="103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19"/>
        <w:gridCol w:w="540"/>
        <w:gridCol w:w="5812"/>
        <w:gridCol w:w="1688"/>
        <w:gridCol w:w="1855"/>
      </w:tblGrid>
      <w:tr>
        <w:trPr>
          <w:trHeight w:val="397" w:hRule="exact"/>
        </w:trPr>
        <w:tc>
          <w:tcPr>
            <w:tcW w:w="6771" w:type="dxa"/>
            <w:gridSpan w:val="3"/>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Fornecedor (identificação e CNPJ)</w:t>
            </w:r>
          </w:p>
        </w:tc>
        <w:tc>
          <w:tcPr>
            <w:tcW w:w="1688"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5"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1029" w:hRule="exact"/>
        </w:trPr>
        <w:tc>
          <w:tcPr>
            <w:tcW w:w="419" w:type="dxa"/>
            <w:vMerge w:val="restart"/>
            <w:tcBorders/>
            <w:textDirection w:val="btLr"/>
            <w:vAlign w:val="cente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Certidões Julgamento</w:t>
            </w:r>
          </w:p>
        </w:tc>
        <w:tc>
          <w:tcPr>
            <w:tcW w:w="6352"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commentRangeStart w:id="0"/>
            <w:r>
              <w:rPr>
                <w:rFonts w:eastAsia="Calibri" w:cs="CenturyGothic,Bold" w:ascii="CenturyGothic,Bold" w:hAnsi="CenturyGothic,Bold"/>
                <w:b/>
                <w:bCs/>
                <w:kern w:val="0"/>
                <w:sz w:val="20"/>
                <w:szCs w:val="20"/>
                <w:lang w:val="pt-BR" w:eastAsia="en-US" w:bidi="ar-SA"/>
              </w:rPr>
              <w:t>SICAF NÍVEL 1 ao 6 (aviso)</w:t>
            </w:r>
            <w:r>
              <w:rPr>
                <w:rFonts w:eastAsia="Calibri" w:cs="CenturyGothic,Bold" w:ascii="CenturyGothic,Bold" w:hAnsi="CenturyGothic,Bold"/>
                <w:b/>
                <w:bCs/>
                <w:kern w:val="0"/>
                <w:sz w:val="20"/>
                <w:szCs w:val="20"/>
                <w:lang w:val="pt-BR" w:eastAsia="en-US" w:bidi="ar-SA"/>
              </w:rPr>
            </w:r>
            <w:commentRangeEnd w:id="0"/>
            <w:r>
              <w:commentReference w:id="0"/>
            </w:r>
            <w:r>
              <w:rPr>
                <w:rFonts w:eastAsia="Calibri" w:cs="CenturyGothic,Bold" w:ascii="CenturyGothic,Bold" w:hAnsi="CenturyGothic,Bold"/>
                <w:b/>
                <w:bCs/>
                <w:kern w:val="0"/>
                <w:sz w:val="20"/>
                <w:szCs w:val="20"/>
                <w:lang w:val="pt-BR" w:eastAsia="en-US" w:bidi="ar-SA"/>
              </w:rPr>
              <w:t xml:space="preserve">. </w:t>
            </w:r>
            <w:r>
              <w:rPr>
                <w:rFonts w:eastAsia="Calibri" w:cs="CenturyGothic,Bold" w:ascii="CenturyGothic,Bold" w:hAnsi="CenturyGothic,Bold"/>
                <w:b/>
                <w:bCs/>
                <w:i/>
                <w:kern w:val="0"/>
                <w:sz w:val="20"/>
                <w:szCs w:val="20"/>
                <w:lang w:val="pt-BR" w:eastAsia="en-US" w:bidi="ar-SA"/>
              </w:rPr>
              <w:t>1. Credenciamento; 2. Hab. Jurídica; 3. Reg. Fiscal e Trabalhista Fed.; 4. Reg. Fiscal Estad./Distrital e Municip.; 5. Qualif. Técnica; 6. Qualif. Econômico-Financeira.</w:t>
            </w:r>
          </w:p>
        </w:tc>
        <w:tc>
          <w:tcPr>
            <w:tcW w:w="1688"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5"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9"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52"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CEIS (aviso)</w:t>
            </w:r>
          </w:p>
        </w:tc>
        <w:tc>
          <w:tcPr>
            <w:tcW w:w="1688"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5"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9"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52"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CNEP (aviso) (juntamente com CEIS, se não selecionar base)</w:t>
            </w:r>
          </w:p>
        </w:tc>
        <w:tc>
          <w:tcPr>
            <w:tcW w:w="1688"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5"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9"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52"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commentRangeStart w:id="1"/>
            <w:r>
              <w:rPr>
                <w:rFonts w:eastAsia="Calibri" w:cs="CenturyGothic,Bold" w:ascii="CenturyGothic,Bold" w:hAnsi="CenturyGothic,Bold"/>
                <w:b/>
                <w:bCs/>
                <w:kern w:val="0"/>
                <w:sz w:val="20"/>
                <w:szCs w:val="20"/>
                <w:lang w:val="pt-BR" w:eastAsia="en-US" w:bidi="ar-SA"/>
              </w:rPr>
              <w:t xml:space="preserve">CNCIAI (licitante e </w:t>
            </w:r>
            <w:commentRangeStart w:id="2"/>
            <w:r>
              <w:rPr>
                <w:rFonts w:eastAsia="Calibri" w:cs="CenturyGothic,Bold" w:ascii="CenturyGothic,Bold" w:hAnsi="CenturyGothic,Bold"/>
                <w:b/>
                <w:bCs/>
                <w:kern w:val="0"/>
                <w:sz w:val="20"/>
                <w:szCs w:val="20"/>
                <w:lang w:val="pt-BR" w:eastAsia="en-US" w:bidi="ar-SA"/>
              </w:rPr>
              <w:t>sócio</w:t>
            </w:r>
            <w:r>
              <w:rPr>
                <w:rFonts w:eastAsia="Calibri" w:cs="CenturyGothic,Bold" w:ascii="CenturyGothic,Bold" w:hAnsi="CenturyGothic,Bold"/>
                <w:b/>
                <w:bCs/>
                <w:kern w:val="0"/>
                <w:sz w:val="20"/>
                <w:szCs w:val="20"/>
                <w:lang w:val="pt-BR" w:eastAsia="en-US" w:bidi="ar-SA"/>
              </w:rPr>
            </w:r>
            <w:commentRangeEnd w:id="2"/>
            <w:r>
              <w:commentReference w:id="2"/>
            </w:r>
            <w:r>
              <w:rPr>
                <w:rFonts w:eastAsia="Calibri" w:cs="CenturyGothic,Bold" w:ascii="CenturyGothic,Bold" w:hAnsi="CenturyGothic,Bold"/>
                <w:b/>
                <w:bCs/>
                <w:kern w:val="0"/>
                <w:sz w:val="20"/>
                <w:szCs w:val="20"/>
                <w:lang w:val="pt-BR" w:eastAsia="en-US" w:bidi="ar-SA"/>
              </w:rPr>
              <w:t>) (aviso)</w:t>
            </w:r>
            <w:commentRangeEnd w:id="1"/>
            <w:r>
              <w:commentReference w:id="1"/>
            </w:r>
            <w:r>
              <w:rPr>
                <w:rFonts w:eastAsia="Calibri" w:cs="CenturyGothic,Bold" w:ascii="CenturyGothic,Bold" w:hAnsi="CenturyGothic,Bold"/>
                <w:b/>
                <w:bCs/>
                <w:kern w:val="0"/>
                <w:sz w:val="20"/>
                <w:szCs w:val="20"/>
                <w:lang w:val="pt-BR" w:eastAsia="en-US" w:bidi="ar-SA"/>
              </w:rPr>
            </w:r>
          </w:p>
        </w:tc>
        <w:tc>
          <w:tcPr>
            <w:tcW w:w="1688"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5"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9"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52"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e-Sanções (aviso)</w:t>
            </w:r>
          </w:p>
        </w:tc>
        <w:tc>
          <w:tcPr>
            <w:tcW w:w="1688"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5"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9"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52"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CEEP (aviso)</w:t>
            </w:r>
          </w:p>
        </w:tc>
        <w:tc>
          <w:tcPr>
            <w:tcW w:w="1688"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5"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9"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52"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TCE (aviso)</w:t>
            </w:r>
          </w:p>
        </w:tc>
        <w:tc>
          <w:tcPr>
            <w:tcW w:w="1688"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5"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9" w:type="dxa"/>
            <w:vMerge w:val="restart"/>
            <w:tcBorders/>
            <w:textDirection w:val="btL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Habilitação</w:t>
            </w:r>
          </w:p>
        </w:tc>
        <w:tc>
          <w:tcPr>
            <w:tcW w:w="540" w:type="dxa"/>
            <w:vMerge w:val="restart"/>
            <w:tcBorders/>
            <w:textDirection w:val="btLr"/>
            <w:vAlign w:val="cente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Simplificada ou não</w:t>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CADIN (TR)</w:t>
            </w:r>
          </w:p>
        </w:tc>
        <w:tc>
          <w:tcPr>
            <w:tcW w:w="1688"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5"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9"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0" w:type="dxa"/>
            <w:vMerge w:val="continue"/>
            <w:tcBorders/>
            <w:textDirection w:val="btLr"/>
            <w:vAlign w:val="center"/>
          </w:tcPr>
          <w:p>
            <w:pPr>
              <w:pStyle w:val="Normal"/>
              <w:widowControl/>
              <w:suppressAutoHyphens w:val="true"/>
              <w:spacing w:lineRule="auto" w:line="240" w:before="0" w:after="0"/>
              <w:ind w:left="113" w:right="113"/>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Reg. Fiscal Estadual (TR)</w:t>
            </w:r>
          </w:p>
        </w:tc>
        <w:tc>
          <w:tcPr>
            <w:tcW w:w="1688" w:type="dxa"/>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1855"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r>
      <w:tr>
        <w:trPr>
          <w:trHeight w:val="397" w:hRule="exact"/>
        </w:trPr>
        <w:tc>
          <w:tcPr>
            <w:tcW w:w="419"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0" w:type="dxa"/>
            <w:vMerge w:val="continue"/>
            <w:tcBorders/>
            <w:textDirection w:val="btLr"/>
            <w:vAlign w:val="center"/>
          </w:tcPr>
          <w:p>
            <w:pPr>
              <w:pStyle w:val="Normal"/>
              <w:widowControl/>
              <w:suppressAutoHyphens w:val="true"/>
              <w:spacing w:lineRule="auto" w:line="240" w:before="0" w:after="0"/>
              <w:ind w:left="113" w:right="113"/>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CNDT – Trabalhista (TR)</w:t>
            </w:r>
          </w:p>
        </w:tc>
        <w:tc>
          <w:tcPr>
            <w:tcW w:w="1688"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5"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9"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0" w:type="dxa"/>
            <w:vMerge w:val="continue"/>
            <w:tcBorders/>
            <w:textDirection w:val="btLr"/>
            <w:vAlign w:val="center"/>
          </w:tcPr>
          <w:p>
            <w:pPr>
              <w:pStyle w:val="Normal"/>
              <w:widowControl/>
              <w:suppressAutoHyphens w:val="true"/>
              <w:spacing w:lineRule="auto" w:line="240" w:before="0" w:after="0"/>
              <w:ind w:left="113" w:right="113"/>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CND Federal (TR)</w:t>
            </w:r>
          </w:p>
        </w:tc>
        <w:tc>
          <w:tcPr>
            <w:tcW w:w="1688"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5"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9"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0" w:type="dxa"/>
            <w:vMerge w:val="continue"/>
            <w:tcBorders/>
            <w:textDirection w:val="btLr"/>
            <w:vAlign w:val="center"/>
          </w:tcPr>
          <w:p>
            <w:pPr>
              <w:pStyle w:val="Normal"/>
              <w:widowControl/>
              <w:suppressAutoHyphens w:val="true"/>
              <w:spacing w:lineRule="auto" w:line="240" w:before="0" w:after="0"/>
              <w:ind w:left="113" w:right="113"/>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CRF – FGTS (TR)</w:t>
            </w:r>
          </w:p>
        </w:tc>
        <w:tc>
          <w:tcPr>
            <w:tcW w:w="1688"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5"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9"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0" w:type="dxa"/>
            <w:vMerge w:val="restart"/>
            <w:tcBorders/>
            <w:textDirection w:val="btLr"/>
            <w:vAlign w:val="cente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Não simplificada (complementar)</w:t>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Habilitação Jurídica (TR)</w:t>
            </w:r>
          </w:p>
        </w:tc>
        <w:tc>
          <w:tcPr>
            <w:tcW w:w="1688"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5"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9"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0"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CNPJ/CPF (TR)</w:t>
            </w:r>
          </w:p>
        </w:tc>
        <w:tc>
          <w:tcPr>
            <w:tcW w:w="1688"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5"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9"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0"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lang w:val="en-US"/>
              </w:rPr>
            </w:pPr>
            <w:r>
              <w:rPr>
                <w:rFonts w:eastAsia="Calibri" w:cs="CenturyGothic,Bold" w:ascii="CenturyGothic,Bold" w:hAnsi="CenturyGothic,Bold"/>
                <w:b/>
                <w:bCs/>
                <w:kern w:val="0"/>
                <w:sz w:val="20"/>
                <w:szCs w:val="20"/>
                <w:lang w:val="en-US" w:eastAsia="en-US" w:bidi="ar-SA"/>
              </w:rPr>
              <w:t>Decl. Art. 7º., XXXIII da CF</w:t>
            </w:r>
          </w:p>
        </w:tc>
        <w:tc>
          <w:tcPr>
            <w:tcW w:w="1688"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lang w:val="en-US"/>
              </w:rPr>
            </w:pPr>
            <w:r>
              <w:rPr>
                <w:rFonts w:cs="CenturyGothic,Bold" w:ascii="CenturyGothic,Bold" w:hAnsi="CenturyGothic,Bold"/>
                <w:b/>
                <w:bCs/>
                <w:sz w:val="20"/>
                <w:szCs w:val="20"/>
                <w:highlight w:val="yellow"/>
                <w:lang w:val="en-US"/>
              </w:rPr>
            </w:r>
          </w:p>
        </w:tc>
        <w:tc>
          <w:tcPr>
            <w:tcW w:w="1855"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lang w:val="en-US"/>
              </w:rPr>
            </w:pPr>
            <w:r>
              <w:rPr>
                <w:rFonts w:cs="CenturyGothic,Bold" w:ascii="CenturyGothic,Bold" w:hAnsi="CenturyGothic,Bold"/>
                <w:b/>
                <w:bCs/>
                <w:sz w:val="20"/>
                <w:szCs w:val="20"/>
                <w:highlight w:val="yellow"/>
                <w:lang w:val="en-US"/>
              </w:rPr>
            </w:r>
          </w:p>
        </w:tc>
      </w:tr>
      <w:tr>
        <w:trPr>
          <w:trHeight w:val="397" w:hRule="exact"/>
        </w:trPr>
        <w:tc>
          <w:tcPr>
            <w:tcW w:w="419"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lang w:val="en-US"/>
              </w:rPr>
            </w:pPr>
            <w:r>
              <w:rPr>
                <w:rFonts w:cs="CenturyGothic,Bold" w:ascii="CenturyGothic,Bold" w:hAnsi="CenturyGothic,Bold"/>
                <w:b/>
                <w:bCs/>
                <w:sz w:val="20"/>
                <w:szCs w:val="20"/>
                <w:lang w:val="en-US"/>
              </w:rPr>
            </w:r>
          </w:p>
        </w:tc>
        <w:tc>
          <w:tcPr>
            <w:tcW w:w="540"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lang w:val="en-US"/>
              </w:rPr>
            </w:pPr>
            <w:r>
              <w:rPr>
                <w:rFonts w:cs="CenturyGothic,Bold" w:ascii="CenturyGothic,Bold" w:hAnsi="CenturyGothic,Bold"/>
                <w:b/>
                <w:bCs/>
                <w:sz w:val="20"/>
                <w:szCs w:val="20"/>
                <w:lang w:val="en-US"/>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Inscr. Est. e/ou Mun. (TR)</w:t>
            </w:r>
          </w:p>
        </w:tc>
        <w:tc>
          <w:tcPr>
            <w:tcW w:w="1688"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5"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9"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0"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Reg. Fiscal Est ou Mun. (TR)</w:t>
            </w:r>
          </w:p>
        </w:tc>
        <w:tc>
          <w:tcPr>
            <w:tcW w:w="1688"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5"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9"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0"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Declaração isenção tributos, se for o caso (TR)</w:t>
            </w:r>
          </w:p>
        </w:tc>
        <w:tc>
          <w:tcPr>
            <w:tcW w:w="1688"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5"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9"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0"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Cert. Neg. Insolvência (TR, se pessoa física)</w:t>
            </w:r>
          </w:p>
        </w:tc>
        <w:tc>
          <w:tcPr>
            <w:tcW w:w="1688"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5"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9"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0"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Cert. Falência (TR)</w:t>
            </w:r>
          </w:p>
        </w:tc>
        <w:tc>
          <w:tcPr>
            <w:tcW w:w="1688"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5"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9"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0"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Demonstrações contábeis dos 2 últimos anos (TR)</w:t>
            </w:r>
          </w:p>
        </w:tc>
        <w:tc>
          <w:tcPr>
            <w:tcW w:w="1688"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5"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9"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0"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Índices: liquidez geral, solvência geral e liq. Corrente (TR)</w:t>
            </w:r>
          </w:p>
        </w:tc>
        <w:tc>
          <w:tcPr>
            <w:tcW w:w="1688"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5"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9"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0"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Decl. De conhecimento de informações e locais (TR)</w:t>
            </w:r>
          </w:p>
        </w:tc>
        <w:tc>
          <w:tcPr>
            <w:tcW w:w="1688"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5"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9"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0"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Registro ent. Profis. (TR)</w:t>
            </w:r>
          </w:p>
        </w:tc>
        <w:tc>
          <w:tcPr>
            <w:tcW w:w="1688"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5"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9"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0"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Atestado Capacidade Técnica (TR)</w:t>
            </w:r>
          </w:p>
        </w:tc>
        <w:tc>
          <w:tcPr>
            <w:tcW w:w="1688"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5"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9"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0"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Prova de atendimento aos requisitos (TR)</w:t>
            </w:r>
          </w:p>
        </w:tc>
        <w:tc>
          <w:tcPr>
            <w:tcW w:w="1688"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5"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9"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0"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Decl. Art. 1º., III e IV e art. 5º., III da CF (TR)</w:t>
            </w:r>
          </w:p>
        </w:tc>
        <w:tc>
          <w:tcPr>
            <w:tcW w:w="1688"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5"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637" w:hRule="exact"/>
        </w:trPr>
        <w:tc>
          <w:tcPr>
            <w:tcW w:w="419"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0"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Decl. Normas relativas à saúde e segurança no trabalho (art. 117, par. Único, Constituição Estadual) (TR)</w:t>
            </w:r>
          </w:p>
        </w:tc>
        <w:tc>
          <w:tcPr>
            <w:tcW w:w="1688"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5"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9" w:type="dxa"/>
            <w:tcBorders/>
            <w:textDirection w:val="btL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rPr>
            </w:pPr>
            <w:r>
              <w:rPr>
                <w:rFonts w:cs="CenturyGothic,Bold" w:ascii="CenturyGothic,Bold" w:hAnsi="CenturyGothic,Bold"/>
                <w:b/>
                <w:bCs/>
                <w:sz w:val="20"/>
                <w:szCs w:val="20"/>
              </w:rPr>
            </w:r>
          </w:p>
        </w:tc>
        <w:tc>
          <w:tcPr>
            <w:tcW w:w="6352"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Conta no Banco do Brasil</w:t>
            </w:r>
          </w:p>
        </w:tc>
        <w:tc>
          <w:tcPr>
            <w:tcW w:w="1688"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5"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9" w:type="dxa"/>
            <w:vMerge w:val="restart"/>
            <w:tcBorders/>
            <w:textDirection w:val="btL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Proposta</w:t>
            </w:r>
          </w:p>
        </w:tc>
        <w:tc>
          <w:tcPr>
            <w:tcW w:w="6352"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Valor unitário ou total de acordo com o edital</w:t>
            </w:r>
          </w:p>
        </w:tc>
        <w:tc>
          <w:tcPr>
            <w:tcW w:w="1688"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5"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9"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52"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Marca (edital)</w:t>
            </w:r>
          </w:p>
        </w:tc>
        <w:tc>
          <w:tcPr>
            <w:tcW w:w="1688"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5"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9"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52"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Fabricante, quando aplicável (edital)</w:t>
            </w:r>
          </w:p>
        </w:tc>
        <w:tc>
          <w:tcPr>
            <w:tcW w:w="1688"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5"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9"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52"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Validade da Proposta ____ dias (edital)</w:t>
            </w:r>
          </w:p>
        </w:tc>
        <w:tc>
          <w:tcPr>
            <w:tcW w:w="1688"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5"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atLeast"/>
        </w:trPr>
        <w:tc>
          <w:tcPr>
            <w:tcW w:w="419"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52"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Prazo de entrega: _____ dias (TR)</w:t>
            </w:r>
          </w:p>
        </w:tc>
        <w:tc>
          <w:tcPr>
            <w:tcW w:w="1688"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5"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9"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52"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Garantia: ___________________ (TR)</w:t>
            </w:r>
          </w:p>
        </w:tc>
        <w:tc>
          <w:tcPr>
            <w:tcW w:w="1688"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5"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9"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52"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Prazo de pagamento: 28 dias (TR)</w:t>
            </w:r>
          </w:p>
        </w:tc>
        <w:tc>
          <w:tcPr>
            <w:tcW w:w="1688"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5"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9"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52"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Concordância com os Termos da Resolução 8548 de 13/12/2023 - USP</w:t>
            </w:r>
          </w:p>
        </w:tc>
        <w:tc>
          <w:tcPr>
            <w:tcW w:w="1688"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5"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bl>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sectPr>
          <w:type w:val="nextPage"/>
          <w:pgSz w:w="11906" w:h="16838"/>
          <w:pgMar w:left="1134" w:right="567" w:gutter="0" w:header="0" w:top="567" w:footer="0" w:bottom="851"/>
          <w:pgNumType w:fmt="decimal"/>
          <w:formProt w:val="false"/>
          <w:textDirection w:val="lrTb"/>
          <w:docGrid w:type="default" w:linePitch="360" w:charSpace="8192"/>
        </w:sect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sectPr>
          <w:type w:val="nextPage"/>
          <w:pgSz w:w="11906" w:h="16838"/>
          <w:pgMar w:left="1134" w:right="567" w:gutter="0" w:header="0" w:top="567" w:footer="0" w:bottom="851"/>
          <w:pgNumType w:fmt="decimal"/>
          <w:formProt w:val="false"/>
          <w:textDirection w:val="lrTb"/>
          <w:docGrid w:type="default" w:linePitch="360" w:charSpace="8192"/>
        </w:sect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r>
        <w:br w:type="page"/>
      </w:r>
    </w:p>
    <w:p>
      <w:pPr>
        <w:sectPr>
          <w:type w:val="nextPage"/>
          <w:pgSz w:w="11906" w:h="16838"/>
          <w:pgMar w:left="1134" w:right="567" w:gutter="0" w:header="0" w:top="567" w:footer="0" w:bottom="851"/>
          <w:pgNumType w:fmt="decimal"/>
          <w:formProt w:val="false"/>
          <w:textDirection w:val="lrTb"/>
          <w:docGrid w:type="default" w:linePitch="360" w:charSpace="8192"/>
        </w:sect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r>
        <w:br w:type="page"/>
      </w:r>
    </w:p>
    <w:tbl>
      <w:tblPr>
        <w:tblW w:w="11199" w:type="dxa"/>
        <w:jc w:val="left"/>
        <w:tblInd w:w="100" w:type="dxa"/>
        <w:tblLayout w:type="fixed"/>
        <w:tblCellMar>
          <w:top w:w="100" w:type="dxa"/>
          <w:left w:w="100" w:type="dxa"/>
          <w:bottom w:w="100" w:type="dxa"/>
          <w:right w:w="100" w:type="dxa"/>
        </w:tblCellMar>
        <w:tblLook w:val="04a0" w:noHBand="0" w:noVBand="1" w:firstColumn="1" w:lastRow="0" w:lastColumn="0" w:firstRow="1"/>
      </w:tblPr>
      <w:tblGrid>
        <w:gridCol w:w="4863"/>
        <w:gridCol w:w="4152"/>
        <w:gridCol w:w="2184"/>
      </w:tblGrid>
      <w:tr>
        <w:trPr/>
        <w:tc>
          <w:tcPr>
            <w:tcW w:w="4863" w:type="dxa"/>
            <w:tcBorders>
              <w:top w:val="single" w:sz="8" w:space="0" w:color="000000"/>
              <w:left w:val="single" w:sz="8" w:space="0" w:color="000000"/>
              <w:bottom w:val="single" w:sz="8" w:space="0" w:color="000000"/>
              <w:right w:val="single" w:sz="8" w:space="0" w:color="000000"/>
            </w:tcBorders>
            <w:vAlign w:val="center"/>
          </w:tcPr>
          <w:p>
            <w:pPr>
              <w:pStyle w:val="Contedodatabela"/>
              <w:pageBreakBefore/>
              <w:widowControl/>
              <w:spacing w:lineRule="auto" w:line="331" w:before="0" w:after="0"/>
              <w:rPr/>
            </w:pPr>
            <w:r>
              <w:rPr>
                <w:rFonts w:cs="CenturyGothic,Bold" w:ascii="Arial;sans-serif" w:hAnsi="Arial;sans-serif"/>
                <w:bCs/>
                <w:sz w:val="32"/>
                <w:szCs w:val="16"/>
              </w:rPr>
              <w:t>{{ numero_sei }}</w:t>
            </w:r>
          </w:p>
        </w:tc>
        <w:tc>
          <w:tcPr>
            <w:tcW w:w="4152"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331" w:before="0" w:after="0"/>
              <w:rPr/>
            </w:pPr>
            <w:r>
              <w:rPr>
                <w:rFonts w:cs="CenturyGothic,Bold" w:ascii="Arial;sans-serif" w:hAnsi="Arial;sans-serif"/>
                <w:bCs/>
                <w:sz w:val="32"/>
                <w:szCs w:val="16"/>
              </w:rPr>
              <w:t>{{ numero_compra }}</w:t>
            </w:r>
          </w:p>
        </w:tc>
        <w:tc>
          <w:tcPr>
            <w:tcW w:w="2184"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pPr>
            <w:r>
              <w:rPr>
                <w:rFonts w:cs="CenturyGothic,Bold" w:ascii="Arial;sans-serif" w:hAnsi="Arial;sans-serif"/>
                <w:bCs/>
                <w:szCs w:val="16"/>
              </w:rPr>
              <w:t>{{ nome_agente_contratacao }}</w:t>
            </w:r>
          </w:p>
        </w:tc>
      </w:tr>
      <w:tr>
        <w:trPr/>
        <w:tc>
          <w:tcPr>
            <w:tcW w:w="4863"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331" w:before="0" w:after="0"/>
              <w:rPr/>
            </w:pPr>
            <w:r>
              <w:rPr>
                <w:rFonts w:cs="CenturyGothic,Bold" w:ascii="Arial;sans-serif" w:hAnsi="Arial;sans-serif"/>
                <w:bCs/>
                <w:szCs w:val="16"/>
              </w:rPr>
              <w:t>{{ modalidade }}</w:t>
            </w:r>
          </w:p>
          <w:p>
            <w:pPr>
              <w:pStyle w:val="Contedodatabela"/>
              <w:widowControl/>
              <w:spacing w:lineRule="auto" w:line="331" w:before="0" w:after="0"/>
              <w:rPr/>
            </w:pPr>
            <w:r>
              <w:rPr>
                <w:rFonts w:cs="CenturyGothic,Bold" w:ascii="Arial;sans-serif" w:hAnsi="Arial;sans-serif"/>
                <w:bCs/>
                <w:szCs w:val="16"/>
              </w:rPr>
              <w:t>{{ tipo }}</w:t>
            </w:r>
          </w:p>
        </w:tc>
        <w:tc>
          <w:tcPr>
            <w:tcW w:w="4152" w:type="dxa"/>
            <w:tcBorders>
              <w:top w:val="single" w:sz="8" w:space="0" w:color="000000"/>
              <w:left w:val="single" w:sz="8" w:space="0" w:color="000000"/>
              <w:bottom w:val="single" w:sz="8" w:space="0" w:color="000000"/>
              <w:right w:val="single" w:sz="8" w:space="0" w:color="000000"/>
            </w:tcBorders>
            <w:vAlign w:val="center"/>
          </w:tcPr>
          <w:p>
            <w:pPr>
              <w:pStyle w:val="Contedodatabela"/>
              <w:spacing w:before="0" w:after="200"/>
              <w:rPr/>
            </w:pPr>
            <w:r>
              <w:rPr/>
            </w:r>
          </w:p>
        </w:tc>
        <w:tc>
          <w:tcPr>
            <w:tcW w:w="2184" w:type="dxa"/>
            <w:tcBorders>
              <w:top w:val="single" w:sz="8" w:space="0" w:color="000000"/>
              <w:left w:val="single" w:sz="8" w:space="0" w:color="000000"/>
              <w:bottom w:val="single" w:sz="8" w:space="0" w:color="000000"/>
              <w:right w:val="single" w:sz="8" w:space="0" w:color="000000"/>
            </w:tcBorders>
            <w:vAlign w:val="center"/>
          </w:tcPr>
          <w:p>
            <w:pPr>
              <w:pStyle w:val="Contedodatabela"/>
              <w:spacing w:before="0" w:after="200"/>
              <w:rPr/>
            </w:pPr>
            <w:r>
              <w:rPr/>
            </w:r>
          </w:p>
        </w:tc>
      </w:tr>
      <w:tr>
        <w:trPr/>
        <w:tc>
          <w:tcPr>
            <w:tcW w:w="4863"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331" w:before="0" w:after="0"/>
              <w:rPr/>
            </w:pPr>
            <w:r>
              <w:rPr>
                <w:rFonts w:cs="CenturyGothic,Bold" w:ascii="Arial;sans-serif" w:hAnsi="Arial;sans-serif"/>
                <w:bCs/>
              </w:rPr>
              <w:t>{{ objeto }}</w:t>
            </w:r>
          </w:p>
        </w:tc>
        <w:tc>
          <w:tcPr>
            <w:tcW w:w="4152" w:type="dxa"/>
            <w:tcBorders>
              <w:top w:val="single" w:sz="8" w:space="0" w:color="000000"/>
              <w:left w:val="single" w:sz="8" w:space="0" w:color="000000"/>
              <w:bottom w:val="single" w:sz="8" w:space="0" w:color="000000"/>
              <w:right w:val="single" w:sz="8" w:space="0" w:color="000000"/>
            </w:tcBorders>
            <w:vAlign w:val="center"/>
          </w:tcPr>
          <w:p>
            <w:pPr>
              <w:pStyle w:val="Contedodatabela"/>
              <w:spacing w:before="0" w:after="200"/>
              <w:rPr/>
            </w:pPr>
            <w:r>
              <w:rPr/>
            </w:r>
          </w:p>
        </w:tc>
        <w:tc>
          <w:tcPr>
            <w:tcW w:w="2184"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rPr/>
            </w:pPr>
            <w:r>
              <w:rPr>
                <w:rFonts w:cs="CenturyGothic,Bold" w:ascii="Arial;sans-serif" w:hAnsi="Arial;sans-serif"/>
                <w:bCs/>
                <w:sz w:val="20"/>
                <w:szCs w:val="16"/>
              </w:rPr>
              <w:t>{{ valor_total_previsto }}</w:t>
            </w:r>
          </w:p>
        </w:tc>
      </w:tr>
    </w:tbl>
    <w:p>
      <w:pPr>
        <w:pStyle w:val="Normal"/>
        <w:spacing w:before="0" w:after="0"/>
        <w:rPr/>
      </w:pPr>
      <w:r>
        <w:rPr/>
      </w:r>
    </w:p>
    <w:tbl>
      <w:tblPr>
        <w:tblW w:w="11199" w:type="dxa"/>
        <w:jc w:val="left"/>
        <w:tblInd w:w="100" w:type="dxa"/>
        <w:tblLayout w:type="fixed"/>
        <w:tblCellMar>
          <w:top w:w="100" w:type="dxa"/>
          <w:left w:w="100" w:type="dxa"/>
          <w:bottom w:w="100" w:type="dxa"/>
          <w:right w:w="100" w:type="dxa"/>
        </w:tblCellMar>
        <w:tblLook w:val="04a0" w:noHBand="0" w:noVBand="1" w:firstColumn="1" w:lastRow="0" w:lastColumn="0" w:firstRow="1"/>
      </w:tblPr>
      <w:tblGrid>
        <w:gridCol w:w="5414"/>
        <w:gridCol w:w="1980"/>
        <w:gridCol w:w="1351"/>
        <w:gridCol w:w="2453"/>
      </w:tblGrid>
      <w:tr>
        <w:trPr/>
        <w:tc>
          <w:tcPr>
            <w:tcW w:w="5414" w:type="dxa"/>
            <w:tcBorders>
              <w:top w:val="single" w:sz="8" w:space="0" w:color="000000"/>
              <w:left w:val="single" w:sz="8" w:space="0" w:color="000000"/>
              <w:bottom w:val="single" w:sz="8" w:space="0" w:color="000000"/>
            </w:tcBorders>
            <w:vAlign w:val="center"/>
          </w:tcPr>
          <w:p>
            <w:pPr>
              <w:pStyle w:val="Contedodatabela"/>
              <w:widowControl/>
              <w:suppressAutoHyphens w:val="true"/>
              <w:bidi w:val="0"/>
              <w:spacing w:lineRule="auto" w:line="240" w:before="0" w:after="200"/>
              <w:jc w:val="left"/>
              <w:rPr>
                <w:rFonts w:ascii="Calibri" w:hAnsi="Calibri" w:eastAsia="Calibri" w:cs="" w:asciiTheme="minorHAnsi" w:cstheme="minorBidi" w:eastAsiaTheme="minorHAnsi" w:hAnsiTheme="minorHAnsi"/>
                <w:color w:val="auto"/>
                <w:kern w:val="0"/>
                <w:sz w:val="16"/>
                <w:szCs w:val="22"/>
                <w:lang w:val="pt-BR" w:eastAsia="en-US" w:bidi="ar-SA"/>
              </w:rPr>
            </w:pPr>
            <w:r>
              <w:rPr>
                <w:rFonts w:eastAsia="Calibri" w:cs="" w:cstheme="minorBidi" w:eastAsiaTheme="minorHAnsi"/>
                <w:color w:val="auto"/>
                <w:kern w:val="0"/>
                <w:sz w:val="16"/>
                <w:szCs w:val="22"/>
                <w:lang w:val="pt-BR" w:eastAsia="en-US" w:bidi="ar-SA"/>
              </w:rPr>
            </w:r>
          </w:p>
        </w:tc>
        <w:tc>
          <w:tcPr>
            <w:tcW w:w="1980"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uppressAutoHyphens w:val="true"/>
              <w:bidi w:val="0"/>
              <w:spacing w:lineRule="auto" w:line="240" w:before="0" w:after="200"/>
              <w:jc w:val="left"/>
              <w:rPr>
                <w:rFonts w:ascii="Calibri" w:hAnsi="Calibri" w:eastAsia="Calibri" w:cs="" w:asciiTheme="minorHAnsi" w:cstheme="minorBidi" w:eastAsiaTheme="minorHAnsi" w:hAnsiTheme="minorHAnsi"/>
                <w:color w:val="auto"/>
                <w:kern w:val="0"/>
                <w:sz w:val="16"/>
                <w:szCs w:val="22"/>
                <w:lang w:val="pt-BR" w:eastAsia="en-US" w:bidi="ar-SA"/>
              </w:rPr>
            </w:pPr>
            <w:r>
              <w:rPr>
                <w:rFonts w:eastAsia="Calibri" w:cs="" w:cstheme="minorBidi" w:eastAsiaTheme="minorHAnsi"/>
                <w:color w:val="auto"/>
                <w:kern w:val="0"/>
                <w:sz w:val="16"/>
                <w:szCs w:val="22"/>
                <w:lang w:val="pt-BR" w:eastAsia="en-US" w:bidi="ar-SA"/>
              </w:rPr>
            </w:r>
          </w:p>
          <w:p>
            <w:pPr>
              <w:pStyle w:val="Contedodatabela"/>
              <w:widowControl/>
              <w:suppressAutoHyphens w:val="true"/>
              <w:bidi w:val="0"/>
              <w:spacing w:lineRule="auto" w:line="240" w:before="0" w:after="200"/>
              <w:jc w:val="left"/>
              <w:rPr>
                <w:rFonts w:ascii="Calibri" w:hAnsi="Calibri" w:eastAsia="Calibri" w:cs="" w:asciiTheme="minorHAnsi" w:cstheme="minorBidi" w:eastAsiaTheme="minorHAnsi" w:hAnsiTheme="minorHAnsi"/>
                <w:color w:val="auto"/>
                <w:kern w:val="0"/>
                <w:sz w:val="16"/>
                <w:szCs w:val="22"/>
                <w:lang w:val="pt-BR" w:eastAsia="en-US" w:bidi="ar-SA"/>
              </w:rPr>
            </w:pPr>
            <w:r>
              <w:rPr>
                <w:rFonts w:eastAsia="Calibri" w:cs="" w:cstheme="minorBidi" w:eastAsiaTheme="minorHAnsi"/>
                <w:color w:val="auto"/>
                <w:kern w:val="0"/>
                <w:sz w:val="16"/>
                <w:szCs w:val="22"/>
                <w:lang w:val="pt-BR" w:eastAsia="en-US" w:bidi="ar-SA"/>
              </w:rPr>
              <w:t>TR | Edital</w:t>
            </w:r>
          </w:p>
          <w:p>
            <w:pPr>
              <w:pStyle w:val="Contedodatabela"/>
              <w:widowControl/>
              <w:suppressAutoHyphens w:val="true"/>
              <w:bidi w:val="0"/>
              <w:spacing w:lineRule="auto" w:line="240" w:before="0" w:after="200"/>
              <w:jc w:val="left"/>
              <w:rPr>
                <w:rFonts w:ascii="Calibri" w:hAnsi="Calibri" w:eastAsia="Calibri" w:cs="" w:asciiTheme="minorHAnsi" w:cstheme="minorBidi" w:eastAsiaTheme="minorHAnsi" w:hAnsiTheme="minorHAnsi"/>
                <w:color w:val="auto"/>
                <w:kern w:val="0"/>
                <w:sz w:val="16"/>
                <w:szCs w:val="22"/>
                <w:lang w:val="pt-BR" w:eastAsia="en-US" w:bidi="ar-SA"/>
              </w:rPr>
            </w:pPr>
            <w:r>
              <w:rPr>
                <w:rFonts w:eastAsia="Calibri" w:cs="" w:cstheme="minorBidi" w:eastAsiaTheme="minorHAnsi"/>
                <w:color w:val="auto"/>
                <w:kern w:val="0"/>
                <w:sz w:val="16"/>
                <w:szCs w:val="22"/>
                <w:lang w:val="pt-BR" w:eastAsia="en-US" w:bidi="ar-SA"/>
              </w:rPr>
              <w:t xml:space="preserve">☐ ☐ </w:t>
            </w:r>
            <w:r>
              <w:rPr>
                <w:rFonts w:eastAsia="Calibri" w:cs="" w:cstheme="minorBidi" w:eastAsiaTheme="minorHAnsi"/>
                <w:color w:val="auto"/>
                <w:kern w:val="0"/>
                <w:sz w:val="16"/>
                <w:szCs w:val="22"/>
                <w:lang w:val="pt-BR" w:eastAsia="en-US" w:bidi="ar-SA"/>
              </w:rPr>
              <w:t>Exclusivo</w:t>
              <w:br/>
              <w:t>ME/EPP/MEI</w:t>
              <w:br/>
              <w:br/>
              <w:t>☐ ☐ Consórcio</w:t>
              <w:br/>
              <w:br/>
              <w:t>☐ ☐ Cooperativa</w:t>
              <w:br/>
            </w:r>
          </w:p>
        </w:tc>
        <w:tc>
          <w:tcPr>
            <w:tcW w:w="1351"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40"/>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Demanda</w:t>
            </w:r>
          </w:p>
          <w:p>
            <w:pPr>
              <w:pStyle w:val="Contedodatabela"/>
              <w:widowControl/>
              <w:spacing w:lineRule="auto" w:line="240"/>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TR</w:t>
            </w:r>
          </w:p>
          <w:p>
            <w:pPr>
              <w:pStyle w:val="Contedodatabela"/>
              <w:widowControl/>
              <w:spacing w:lineRule="auto" w:line="240"/>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Minuta</w:t>
            </w:r>
          </w:p>
          <w:p>
            <w:pPr>
              <w:pStyle w:val="Contedodatabela"/>
              <w:widowControl/>
              <w:spacing w:lineRule="auto" w:line="240"/>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Objeto</w:t>
            </w:r>
          </w:p>
          <w:p>
            <w:pPr>
              <w:pStyle w:val="Contedodatabela"/>
              <w:widowControl/>
              <w:spacing w:lineRule="auto" w:line="240" w:before="0" w:after="200"/>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Grade</w:t>
            </w:r>
          </w:p>
        </w:tc>
        <w:tc>
          <w:tcPr>
            <w:tcW w:w="2453"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40"/>
              <w:ind w:right="113"/>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Reserva</w:t>
            </w:r>
          </w:p>
          <w:p>
            <w:pPr>
              <w:pStyle w:val="Contedodatabela"/>
              <w:widowControl/>
              <w:spacing w:lineRule="auto" w:line="240"/>
              <w:ind w:right="113"/>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Disputa</w:t>
            </w:r>
          </w:p>
          <w:p>
            <w:pPr>
              <w:pStyle w:val="Contedodatabela"/>
              <w:widowControl/>
              <w:spacing w:lineRule="auto" w:line="240"/>
              <w:ind w:right="113"/>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Conferência</w:t>
            </w:r>
          </w:p>
          <w:p>
            <w:pPr>
              <w:pStyle w:val="Contedodatabela"/>
              <w:widowControl/>
              <w:spacing w:lineRule="auto" w:line="240"/>
              <w:ind w:right="113"/>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Adequação Reserva</w:t>
            </w:r>
          </w:p>
          <w:p>
            <w:pPr>
              <w:pStyle w:val="Contedodatabela"/>
              <w:widowControl/>
              <w:spacing w:lineRule="auto" w:line="240"/>
              <w:ind w:right="113"/>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Conferência</w:t>
            </w:r>
          </w:p>
          <w:p>
            <w:pPr>
              <w:pStyle w:val="Contedodatabela"/>
              <w:widowControl/>
              <w:spacing w:lineRule="auto" w:line="240"/>
              <w:ind w:right="113"/>
              <w:rPr>
                <w:b/>
                <w:bCs/>
                <w:color w:val="000000"/>
                <w:sz w:val="16"/>
                <w:szCs w:val="16"/>
              </w:rPr>
            </w:pPr>
            <w:r>
              <w:rPr>
                <w:rFonts w:eastAsia="MS Gothic" w:ascii="MS Gothic" w:hAnsi="MS Gothic"/>
                <w:color w:val="000000"/>
                <w:sz w:val="16"/>
                <w:szCs w:val="16"/>
              </w:rPr>
              <w:t>☐</w:t>
            </w:r>
            <w:r>
              <w:rPr>
                <w:color w:val="000000"/>
                <w:sz w:val="16"/>
                <w:szCs w:val="16"/>
              </w:rPr>
              <w:t xml:space="preserve"> </w:t>
            </w:r>
            <w:r>
              <w:rPr>
                <w:color w:val="000000"/>
                <w:sz w:val="16"/>
                <w:szCs w:val="16"/>
              </w:rPr>
              <w:t>Liberação compra</w:t>
            </w:r>
          </w:p>
          <w:p>
            <w:pPr>
              <w:pStyle w:val="Contedodatabela"/>
              <w:widowControl/>
              <w:spacing w:lineRule="auto" w:line="240"/>
              <w:ind w:right="113"/>
              <w:rPr>
                <w:color w:val="000000"/>
                <w:sz w:val="16"/>
                <w:szCs w:val="16"/>
              </w:rPr>
            </w:pPr>
            <w:r>
              <w:rPr>
                <w:rFonts w:eastAsia="MS Gothic" w:ascii="MS Gothic" w:hAnsi="MS Gothic"/>
                <w:color w:val="000000"/>
                <w:sz w:val="16"/>
                <w:szCs w:val="16"/>
              </w:rPr>
              <w:t>☐</w:t>
            </w:r>
            <w:r>
              <w:rPr>
                <w:color w:val="000000"/>
                <w:sz w:val="16"/>
                <w:szCs w:val="16"/>
              </w:rPr>
              <w:t xml:space="preserve"> </w:t>
            </w:r>
            <w:r>
              <w:rPr>
                <w:color w:val="000000"/>
                <w:sz w:val="16"/>
                <w:szCs w:val="16"/>
              </w:rPr>
              <w:t>Certidões</w:t>
            </w:r>
          </w:p>
          <w:p>
            <w:pPr>
              <w:pStyle w:val="Contedodatabela"/>
              <w:widowControl/>
              <w:spacing w:lineRule="auto" w:line="240" w:before="0" w:after="200"/>
              <w:ind w:right="113"/>
              <w:rPr>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Empenho</w:t>
            </w:r>
          </w:p>
        </w:tc>
      </w:tr>
    </w:tbl>
    <w:p>
      <w:pPr>
        <w:pStyle w:val="BodyText"/>
        <w:spacing w:lineRule="auto" w:line="240"/>
        <w:rPr>
          <w:rFonts w:ascii="CenturyGothic,Bold" w:hAnsi="CenturyGothic,Bold" w:cs="CenturyGothic,Bold"/>
          <w:b/>
          <w:bCs/>
          <w:sz w:val="16"/>
          <w:szCs w:val="16"/>
        </w:rPr>
      </w:pPr>
      <w:r>
        <w:rPr>
          <w:rFonts w:cs="CenturyGothic,Bold" w:ascii="CenturyGothic,Bold" w:hAnsi="CenturyGothic,Bold"/>
          <w:b/>
          <w:bCs/>
          <w:sz w:val="16"/>
          <w:szCs w:val="16"/>
        </w:rPr>
        <w:br/>
        <w:br/>
        <w:br/>
        <w:br/>
        <w:br/>
      </w:r>
    </w:p>
    <w:tbl>
      <w:tblPr>
        <w:tblW w:w="11199" w:type="dxa"/>
        <w:jc w:val="left"/>
        <w:tblInd w:w="100" w:type="dxa"/>
        <w:tblLayout w:type="fixed"/>
        <w:tblCellMar>
          <w:top w:w="100" w:type="dxa"/>
          <w:left w:w="100" w:type="dxa"/>
          <w:bottom w:w="100" w:type="dxa"/>
          <w:right w:w="100" w:type="dxa"/>
        </w:tblCellMar>
        <w:tblLook w:val="04a0" w:noHBand="0" w:noVBand="1" w:firstColumn="1" w:lastRow="0" w:lastColumn="0" w:firstRow="1"/>
      </w:tblPr>
      <w:tblGrid>
        <w:gridCol w:w="1079"/>
        <w:gridCol w:w="1351"/>
        <w:gridCol w:w="450"/>
        <w:gridCol w:w="495"/>
        <w:gridCol w:w="854"/>
        <w:gridCol w:w="4157"/>
        <w:gridCol w:w="1172"/>
        <w:gridCol w:w="925"/>
        <w:gridCol w:w="358"/>
        <w:gridCol w:w="357"/>
      </w:tblGrid>
      <w:tr>
        <w:trPr/>
        <w:tc>
          <w:tcPr>
            <w:tcW w:w="1079"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Demanda</w:t>
            </w:r>
          </w:p>
        </w:tc>
        <w:tc>
          <w:tcPr>
            <w:tcW w:w="1351"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 xml:space="preserve">Centro Gerencial </w:t>
              <w:br/>
              <w:t>Grupo Orçamentário</w:t>
            </w:r>
          </w:p>
        </w:tc>
        <w:tc>
          <w:tcPr>
            <w:tcW w:w="450"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w:t>
            </w:r>
          </w:p>
        </w:tc>
        <w:tc>
          <w:tcPr>
            <w:tcW w:w="495"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Qtd</w:t>
            </w:r>
          </w:p>
        </w:tc>
        <w:tc>
          <w:tcPr>
            <w:tcW w:w="854"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Código Compras GOV</w:t>
            </w:r>
          </w:p>
        </w:tc>
        <w:tc>
          <w:tcPr>
            <w:tcW w:w="4157"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Descrição</w:t>
            </w:r>
          </w:p>
        </w:tc>
        <w:tc>
          <w:tcPr>
            <w:tcW w:w="1172" w:type="dxa"/>
            <w:tcBorders>
              <w:top w:val="single" w:sz="8" w:space="0" w:color="000000"/>
              <w:left w:val="single" w:sz="8" w:space="0" w:color="000000"/>
              <w:bottom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Valor unitário</w:t>
            </w:r>
          </w:p>
        </w:tc>
        <w:tc>
          <w:tcPr>
            <w:tcW w:w="925"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Item de despesa</w:t>
            </w:r>
          </w:p>
        </w:tc>
        <w:tc>
          <w:tcPr>
            <w:tcW w:w="358"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TRP</w:t>
            </w:r>
          </w:p>
        </w:tc>
        <w:tc>
          <w:tcPr>
            <w:tcW w:w="357"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TR</w:t>
            </w:r>
          </w:p>
        </w:tc>
      </w:tr>
      <w:tr>
        <w:trPr>
          <w:trHeight w:val="387" w:hRule="atLeast"/>
        </w:trPr>
        <w:tc>
          <w:tcPr>
            <w:tcW w:w="11198" w:type="dxa"/>
            <w:gridSpan w:val="10"/>
            <w:tcBorders>
              <w:top w:val="single" w:sz="8" w:space="0" w:color="000000"/>
              <w:left w:val="single" w:sz="8" w:space="0" w:color="000000"/>
              <w:bottom w:val="single" w:sz="8" w:space="0" w:color="000000"/>
              <w:right w:val="single" w:sz="8" w:space="0" w:color="000000"/>
            </w:tcBorders>
            <w:vAlign w:val="center"/>
          </w:tcPr>
          <w:p>
            <w:pPr>
              <w:pStyle w:val="TableContents"/>
              <w:spacing w:before="0" w:after="200"/>
              <w:rPr>
                <w:lang w:val="en-US"/>
              </w:rPr>
            </w:pPr>
            <w:r>
              <w:rPr>
                <w:color w:val="2A6099"/>
                <w:sz w:val="12"/>
                <w:szCs w:val="12"/>
                <w:lang w:val="en-US"/>
              </w:rPr>
              <w:t>{%tr for item in itens %}</w:t>
            </w:r>
          </w:p>
        </w:tc>
      </w:tr>
      <w:tr>
        <w:trPr/>
        <w:tc>
          <w:tcPr>
            <w:tcW w:w="1079" w:type="dxa"/>
            <w:tcBorders>
              <w:left w:val="single" w:sz="8" w:space="0" w:color="000000"/>
              <w:bottom w:val="single" w:sz="8" w:space="0" w:color="000000"/>
              <w:right w:val="single" w:sz="8" w:space="0" w:color="000000"/>
            </w:tcBorders>
            <w:vAlign w:val="center"/>
          </w:tcPr>
          <w:p>
            <w:pPr>
              <w:pStyle w:val="Contedodatabela"/>
              <w:widowControl/>
              <w:spacing w:lineRule="auto" w:line="288" w:before="0" w:after="0"/>
              <w:rPr>
                <w:sz w:val="16"/>
                <w:szCs w:val="16"/>
              </w:rPr>
            </w:pPr>
            <w:r>
              <w:rPr>
                <w:rFonts w:cs="CenturyGothic,Bold"/>
                <w:bCs/>
                <w:sz w:val="16"/>
                <w:szCs w:val="16"/>
              </w:rPr>
              <w:t>{{ item.numero_demanda }}</w:t>
            </w:r>
          </w:p>
        </w:tc>
        <w:tc>
          <w:tcPr>
            <w:tcW w:w="1351" w:type="dxa"/>
            <w:tcBorders>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Cs/>
                <w:sz w:val="16"/>
                <w:szCs w:val="16"/>
              </w:rPr>
              <w:t>{{ item.centro_gerencial }}</w:t>
              <w:br/>
              <w:t>{{ item.grupo_orcamentario }}</w:t>
            </w:r>
          </w:p>
        </w:tc>
        <w:tc>
          <w:tcPr>
            <w:tcW w:w="450" w:type="dxa"/>
            <w:tcBorders>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Cs/>
                <w:sz w:val="16"/>
                <w:szCs w:val="16"/>
              </w:rPr>
              <w:t>{{ item.numero_ordem }}</w:t>
            </w:r>
          </w:p>
        </w:tc>
        <w:tc>
          <w:tcPr>
            <w:tcW w:w="495" w:type="dxa"/>
            <w:tcBorders>
              <w:left w:val="single" w:sz="8" w:space="0" w:color="000000"/>
              <w:bottom w:val="single" w:sz="8" w:space="0" w:color="000000"/>
              <w:right w:val="single" w:sz="8" w:space="0" w:color="000000"/>
            </w:tcBorders>
            <w:vAlign w:val="center"/>
          </w:tcPr>
          <w:p>
            <w:pPr>
              <w:pStyle w:val="Normal"/>
              <w:spacing w:lineRule="auto" w:line="240" w:before="0" w:after="0"/>
              <w:jc w:val="center"/>
              <w:rPr>
                <w:sz w:val="16"/>
                <w:szCs w:val="16"/>
              </w:rPr>
            </w:pPr>
            <w:r>
              <w:rPr>
                <w:rFonts w:cs="CenturyGothic,Bold"/>
                <w:sz w:val="16"/>
                <w:szCs w:val="16"/>
              </w:rPr>
              <w:t xml:space="preserve">{{ </w:t>
            </w:r>
            <w:r>
              <w:rPr>
                <w:rFonts w:cs="CenturyGothic,Bold"/>
                <w:bCs/>
                <w:sz w:val="16"/>
                <w:szCs w:val="16"/>
              </w:rPr>
              <w:t>item.</w:t>
            </w:r>
            <w:r>
              <w:rPr>
                <w:rFonts w:cs="CenturyGothic,Bold"/>
                <w:sz w:val="16"/>
                <w:szCs w:val="16"/>
              </w:rPr>
              <w:t>quantidade }}</w:t>
            </w:r>
          </w:p>
        </w:tc>
        <w:tc>
          <w:tcPr>
            <w:tcW w:w="854" w:type="dxa"/>
            <w:tcBorders>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Cs/>
                <w:sz w:val="16"/>
                <w:szCs w:val="16"/>
              </w:rPr>
              <w:t>{{ item.codigo_comprasgov }}</w:t>
            </w:r>
          </w:p>
        </w:tc>
        <w:tc>
          <w:tcPr>
            <w:tcW w:w="4157" w:type="dxa"/>
            <w:tcBorders>
              <w:left w:val="single" w:sz="8" w:space="0" w:color="000000"/>
              <w:bottom w:val="single" w:sz="8" w:space="0" w:color="000000"/>
              <w:right w:val="single" w:sz="8" w:space="0" w:color="000000"/>
            </w:tcBorders>
            <w:shd w:color="auto" w:fill="FFFFFF" w:val="clear"/>
            <w:vAlign w:val="center"/>
          </w:tcPr>
          <w:p>
            <w:pPr>
              <w:pStyle w:val="Contedodatabela"/>
              <w:widowControl/>
              <w:spacing w:lineRule="auto" w:line="288" w:before="0" w:after="0"/>
              <w:rPr>
                <w:sz w:val="16"/>
                <w:szCs w:val="16"/>
              </w:rPr>
            </w:pPr>
            <w:r>
              <w:rPr>
                <w:rFonts w:cs="CenturyGothic,Bold"/>
                <w:bCs/>
                <w:sz w:val="16"/>
                <w:szCs w:val="16"/>
              </w:rPr>
              <w:t xml:space="preserve"> </w:t>
            </w:r>
            <w:r>
              <w:rPr>
                <w:rFonts w:cs="CenturyGothic,Bold"/>
                <w:bCs/>
                <w:sz w:val="16"/>
                <w:szCs w:val="16"/>
              </w:rPr>
              <w:t>{{ item.descricao }}</w:t>
            </w:r>
          </w:p>
        </w:tc>
        <w:tc>
          <w:tcPr>
            <w:tcW w:w="1172" w:type="dxa"/>
            <w:tcBorders>
              <w:left w:val="single" w:sz="8" w:space="0" w:color="000000"/>
              <w:bottom w:val="single" w:sz="8" w:space="0" w:color="000000"/>
            </w:tcBorders>
            <w:shd w:color="auto" w:fill="FFFFFF" w:val="clear"/>
            <w:vAlign w:val="center"/>
          </w:tcPr>
          <w:p>
            <w:pPr>
              <w:pStyle w:val="Contedodatabela"/>
              <w:widowControl/>
              <w:spacing w:lineRule="auto" w:line="288" w:before="0" w:after="0"/>
              <w:jc w:val="center"/>
              <w:rPr>
                <w:sz w:val="16"/>
                <w:szCs w:val="16"/>
              </w:rPr>
            </w:pPr>
            <w:r>
              <w:rPr>
                <w:rFonts w:cs="CenturyGothic,Bold"/>
                <w:bCs/>
                <w:sz w:val="16"/>
                <w:szCs w:val="16"/>
              </w:rPr>
              <w:t>{{ item.valor_unitario_previsto }}</w:t>
            </w:r>
          </w:p>
        </w:tc>
        <w:tc>
          <w:tcPr>
            <w:tcW w:w="925" w:type="dxa"/>
            <w:tcBorders>
              <w:left w:val="single" w:sz="8" w:space="0" w:color="000000"/>
              <w:bottom w:val="single" w:sz="8" w:space="0" w:color="000000"/>
              <w:right w:val="single" w:sz="8" w:space="0" w:color="000000"/>
            </w:tcBorders>
            <w:shd w:color="auto" w:fill="FFFFFF" w:val="clear"/>
            <w:vAlign w:val="center"/>
          </w:tcPr>
          <w:p>
            <w:pPr>
              <w:pStyle w:val="Contedodatabela"/>
              <w:widowControl/>
              <w:spacing w:lineRule="auto" w:line="288" w:before="0" w:after="0"/>
              <w:jc w:val="center"/>
              <w:rPr>
                <w:sz w:val="16"/>
                <w:szCs w:val="16"/>
              </w:rPr>
            </w:pPr>
            <w:r>
              <w:rPr>
                <w:rFonts w:cs="CenturyGothic,Bold"/>
                <w:bCs/>
                <w:sz w:val="16"/>
                <w:szCs w:val="16"/>
              </w:rPr>
              <w:t>{{ item.item_despesa }}</w:t>
            </w:r>
          </w:p>
        </w:tc>
        <w:tc>
          <w:tcPr>
            <w:tcW w:w="358" w:type="dxa"/>
            <w:tcBorders>
              <w:left w:val="single" w:sz="8" w:space="0" w:color="000000"/>
              <w:bottom w:val="single" w:sz="8" w:space="0" w:color="000000"/>
              <w:right w:val="single" w:sz="8" w:space="0" w:color="000000"/>
            </w:tcBorders>
            <w:vAlign w:val="center"/>
          </w:tcPr>
          <w:p>
            <w:pPr>
              <w:pStyle w:val="Contedodatabela"/>
              <w:spacing w:before="0" w:after="200"/>
              <w:rPr>
                <w:sz w:val="16"/>
                <w:szCs w:val="16"/>
              </w:rPr>
            </w:pPr>
            <w:r>
              <w:rPr>
                <w:sz w:val="16"/>
                <w:szCs w:val="16"/>
              </w:rPr>
            </w:r>
          </w:p>
        </w:tc>
        <w:tc>
          <w:tcPr>
            <w:tcW w:w="357" w:type="dxa"/>
            <w:tcBorders>
              <w:left w:val="single" w:sz="8" w:space="0" w:color="000000"/>
              <w:bottom w:val="single" w:sz="8" w:space="0" w:color="000000"/>
              <w:right w:val="single" w:sz="8" w:space="0" w:color="000000"/>
            </w:tcBorders>
            <w:vAlign w:val="center"/>
          </w:tcPr>
          <w:p>
            <w:pPr>
              <w:pStyle w:val="Contedodatabela"/>
              <w:widowControl/>
              <w:spacing w:lineRule="auto" w:line="288" w:before="0" w:after="0"/>
              <w:rPr>
                <w:rFonts w:cs="CenturyGothic,Bold"/>
                <w:bCs/>
                <w:sz w:val="16"/>
                <w:szCs w:val="16"/>
              </w:rPr>
            </w:pPr>
            <w:r>
              <w:rPr>
                <w:rFonts w:cs="CenturyGothic,Bold"/>
                <w:bCs/>
                <w:sz w:val="16"/>
                <w:szCs w:val="16"/>
              </w:rPr>
            </w:r>
          </w:p>
        </w:tc>
      </w:tr>
      <w:tr>
        <w:trPr/>
        <w:tc>
          <w:tcPr>
            <w:tcW w:w="11198" w:type="dxa"/>
            <w:gridSpan w:val="10"/>
            <w:tcBorders>
              <w:left w:val="single" w:sz="8" w:space="0" w:color="000000"/>
              <w:bottom w:val="single" w:sz="8" w:space="0" w:color="000000"/>
              <w:right w:val="single" w:sz="8" w:space="0" w:color="000000"/>
            </w:tcBorders>
            <w:vAlign w:val="center"/>
          </w:tcPr>
          <w:p>
            <w:pPr>
              <w:pStyle w:val="TableContents"/>
              <w:widowControl w:val="false"/>
              <w:suppressLineNumbers/>
              <w:spacing w:before="0" w:after="200"/>
              <w:rPr/>
            </w:pPr>
            <w:r>
              <w:rPr>
                <w:color w:val="2A6099"/>
                <w:sz w:val="12"/>
                <w:szCs w:val="12"/>
              </w:rPr>
              <w:t>{%tr endfor %}</w:t>
            </w:r>
          </w:p>
        </w:tc>
      </w:tr>
    </w:tbl>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sectPr>
      <w:type w:val="nextPage"/>
      <w:pgSz w:w="11906" w:h="16838"/>
      <w:pgMar w:left="284" w:right="284" w:gutter="0" w:header="0" w:top="567" w:footer="0" w:bottom="567"/>
      <w:pgNumType w:fmt="decimal"/>
      <w:formProt w:val="false"/>
      <w:textDirection w:val="lrTb"/>
      <w:docGrid w:type="default" w:linePitch="360" w:charSpace="8192"/>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Kleber" w:date="2024-09-04T11:23:00Z" w:initials="K">
    <w:p>
      <w:pPr>
        <w:overflowPunct w:val="true"/>
        <w:spacing w:lineRule="auto" w:line="240" w:before="0" w:after="0"/>
        <w:rPr/>
      </w:pPr>
      <w:r>
        <w:rPr>
          <w:rFonts w:eastAsia="DejaVu Sans" w:cs="DejaVu Sans" w:ascii="Liberation Serif" w:hAnsi="Liberation Serif"/>
          <w:sz w:val="24"/>
          <w:szCs w:val="24"/>
          <w:lang w:val="en-US" w:eastAsia="en-US" w:bidi="en-US"/>
        </w:rPr>
        <w:t xml:space="preserve">Dentro de cada nível estão elencadas as documentações que foram apresentadas pela empresa. Dessa forma, somente será(ão) dispensada(s) a(s) certidão(ões) apresentada(s) e que esteja(m) válida(s) no momento da sessão pública, quando for o caso. </w:t>
      </w:r>
    </w:p>
  </w:comment>
  <w:comment w:id="2" w:author="Kleber" w:date="2024-08-22T10:22:00Z" w:initials="K">
    <w:p>
      <w:pPr>
        <w:overflowPunct w:val="true"/>
        <w:spacing w:lineRule="auto" w:line="240" w:before="0" w:after="0"/>
        <w:rPr/>
      </w:pPr>
      <w:r>
        <w:rPr>
          <w:rFonts w:eastAsia="DejaVu Sans" w:cs="DejaVu Sans" w:ascii="Liberation Serif" w:hAnsi="Liberation Serif"/>
          <w:sz w:val="24"/>
          <w:szCs w:val="24"/>
          <w:lang w:val="en-US" w:eastAsia="en-US" w:bidi="en-US"/>
        </w:rPr>
        <w:t>Somente do sócio majoritário. A verificação será feita pelo contrato social da empresa que, embora não seja documento obrigatório de habilitação, foi acordado que será inserido para consulta do sócio. Caso haja dois ou mais sócios com a mesma cota, deverá ser incluído o sócio que administra a empresa.</w:t>
      </w:r>
    </w:p>
  </w:comment>
  <w:comment w:id="1" w:author="Kleber" w:date="2025-06-18T11:05:00Z" w:initials="K">
    <w:p>
      <w:pPr>
        <w:overflowPunct w:val="true"/>
        <w:spacing w:lineRule="auto" w:line="240" w:before="0" w:after="0"/>
        <w:rPr/>
      </w:pPr>
      <w:r>
        <w:rPr>
          <w:rFonts w:eastAsia="DejaVu Sans" w:cs="DejaVu Sans" w:ascii="Liberation Serif" w:hAnsi="Liberation Serif"/>
          <w:sz w:val="24"/>
          <w:szCs w:val="24"/>
          <w:lang w:val="en-US" w:eastAsia="en-US" w:bidi="en-US"/>
        </w:rPr>
        <w:t>O sócio poderá ser tanto um CPF quanto um CNPJ.</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swiss"/>
    <w:pitch w:val="variable"/>
  </w:font>
  <w:font w:name="Liberation Sans">
    <w:altName w:val="Arial"/>
    <w:charset w:val="01"/>
    <w:family w:val="swiss"/>
    <w:pitch w:val="variable"/>
  </w:font>
  <w:font w:name="Arial">
    <w:charset w:val="01"/>
    <w:family w:val="swiss"/>
    <w:pitch w:val="variable"/>
  </w:font>
  <w:font w:name="CenturyGothic">
    <w:altName w:val="Bold"/>
    <w:charset w:val="01"/>
    <w:family w:val="roman"/>
    <w:pitch w:val="variable"/>
  </w:font>
  <w:font w:name="CenturyGothic">
    <w:charset w:val="01"/>
    <w:family w:val="roman"/>
    <w:pitch w:val="variable"/>
  </w:font>
  <w:font w:name="Arial">
    <w:altName w:val="sans-serif"/>
    <w:charset w:val="01"/>
    <w:family w:val="roman"/>
    <w:pitch w:val="variable"/>
  </w:font>
  <w:font w:name="MS Gothic">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pt-B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200"/>
      <w:jc w:val="left"/>
    </w:pPr>
    <w:rPr>
      <w:rFonts w:ascii="Calibri" w:hAnsi="Calibri" w:eastAsia="Calibri" w:cs="" w:asciiTheme="minorHAnsi" w:cstheme="minorBidi" w:eastAsiaTheme="minorHAnsi" w:hAnsiTheme="minorHAnsi"/>
      <w:color w:val="auto"/>
      <w:kern w:val="0"/>
      <w:sz w:val="22"/>
      <w:szCs w:val="22"/>
      <w:lang w:val="pt-BR" w:eastAsia="en-US" w:bidi="ar-SA"/>
    </w:rPr>
  </w:style>
  <w:style w:type="character" w:styleId="DefaultParagraphFont" w:default="1">
    <w:name w:val="Default Paragraph Font"/>
    <w:uiPriority w:val="1"/>
    <w:semiHidden/>
    <w:unhideWhenUsed/>
    <w:qFormat/>
    <w:rPr/>
  </w:style>
  <w:style w:type="character" w:styleId="TextodebaloChar" w:customStyle="1">
    <w:name w:val="Texto de balão Char"/>
    <w:basedOn w:val="DefaultParagraphFont"/>
    <w:link w:val="BalloonText"/>
    <w:uiPriority w:val="99"/>
    <w:semiHidden/>
    <w:qFormat/>
    <w:rsid w:val="00704c99"/>
    <w:rPr>
      <w:rFonts w:ascii="Tahoma" w:hAnsi="Tahoma" w:cs="Tahoma"/>
      <w:sz w:val="16"/>
      <w:szCs w:val="16"/>
    </w:rPr>
  </w:style>
  <w:style w:type="character" w:styleId="CabealhoChar" w:customStyle="1">
    <w:name w:val="Cabeçalho Char"/>
    <w:basedOn w:val="DefaultParagraphFont"/>
    <w:link w:val="Header"/>
    <w:uiPriority w:val="99"/>
    <w:qFormat/>
    <w:rsid w:val="00b35795"/>
    <w:rPr/>
  </w:style>
  <w:style w:type="character" w:styleId="RodapChar" w:customStyle="1">
    <w:name w:val="Rodapé Char"/>
    <w:basedOn w:val="DefaultParagraphFont"/>
    <w:link w:val="Footer"/>
    <w:uiPriority w:val="99"/>
    <w:qFormat/>
    <w:rsid w:val="00b35795"/>
    <w:rPr/>
  </w:style>
  <w:style w:type="character" w:styleId="CommentReference">
    <w:name w:val="annotation reference"/>
    <w:basedOn w:val="DefaultParagraphFont"/>
    <w:uiPriority w:val="99"/>
    <w:semiHidden/>
    <w:unhideWhenUsed/>
    <w:qFormat/>
    <w:rsid w:val="00057a18"/>
    <w:rPr>
      <w:sz w:val="16"/>
      <w:szCs w:val="16"/>
    </w:rPr>
  </w:style>
  <w:style w:type="character" w:styleId="TextodecomentrioChar" w:customStyle="1">
    <w:name w:val="Texto de comentário Char"/>
    <w:basedOn w:val="DefaultParagraphFont"/>
    <w:link w:val="CommentText"/>
    <w:uiPriority w:val="99"/>
    <w:semiHidden/>
    <w:qFormat/>
    <w:rsid w:val="00057a18"/>
    <w:rPr>
      <w:sz w:val="20"/>
      <w:szCs w:val="20"/>
    </w:rPr>
  </w:style>
  <w:style w:type="character" w:styleId="AssuntodocomentrioChar" w:customStyle="1">
    <w:name w:val="Assunto do comentário Char"/>
    <w:basedOn w:val="TextodecomentrioChar"/>
    <w:link w:val="annotationsubject"/>
    <w:uiPriority w:val="99"/>
    <w:semiHidden/>
    <w:qFormat/>
    <w:rsid w:val="00724c48"/>
    <w:rPr>
      <w:b/>
      <w:bCs/>
      <w:sz w:val="20"/>
      <w:szCs w:val="20"/>
    </w:rPr>
  </w:style>
  <w:style w:type="paragraph" w:styleId="Heading" w:customStyle="1">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customStyle="1">
    <w:name w:val="Index"/>
    <w:basedOn w:val="Normal"/>
    <w:qFormat/>
    <w:pPr>
      <w:suppressLineNumbers/>
    </w:pPr>
    <w:rPr/>
  </w:style>
  <w:style w:type="paragraph" w:styleId="BalloonText">
    <w:name w:val="Balloon Text"/>
    <w:basedOn w:val="Normal"/>
    <w:link w:val="TextodebaloChar"/>
    <w:uiPriority w:val="99"/>
    <w:semiHidden/>
    <w:unhideWhenUsed/>
    <w:qFormat/>
    <w:rsid w:val="00704c99"/>
    <w:pPr>
      <w:spacing w:lineRule="auto" w:line="240" w:before="0" w:after="0"/>
    </w:pPr>
    <w:rPr>
      <w:rFonts w:ascii="Tahoma" w:hAnsi="Tahoma" w:cs="Tahoma"/>
      <w:sz w:val="16"/>
      <w:szCs w:val="16"/>
    </w:rPr>
  </w:style>
  <w:style w:type="paragraph" w:styleId="HeaderandFooter" w:customStyle="1">
    <w:name w:val="Header and Footer"/>
    <w:basedOn w:val="Normal"/>
    <w:qFormat/>
    <w:pPr/>
    <w:rPr/>
  </w:style>
  <w:style w:type="paragraph" w:styleId="Header">
    <w:name w:val="header"/>
    <w:basedOn w:val="Normal"/>
    <w:link w:val="CabealhoChar"/>
    <w:uiPriority w:val="99"/>
    <w:unhideWhenUsed/>
    <w:rsid w:val="00b35795"/>
    <w:pPr>
      <w:tabs>
        <w:tab w:val="clear" w:pos="708"/>
        <w:tab w:val="center" w:pos="4252" w:leader="none"/>
        <w:tab w:val="right" w:pos="8504" w:leader="none"/>
      </w:tabs>
      <w:spacing w:lineRule="auto" w:line="240" w:before="0" w:after="0"/>
    </w:pPr>
    <w:rPr/>
  </w:style>
  <w:style w:type="paragraph" w:styleId="Footer">
    <w:name w:val="footer"/>
    <w:basedOn w:val="Normal"/>
    <w:link w:val="RodapChar"/>
    <w:uiPriority w:val="99"/>
    <w:unhideWhenUsed/>
    <w:rsid w:val="00b35795"/>
    <w:pPr>
      <w:tabs>
        <w:tab w:val="clear" w:pos="708"/>
        <w:tab w:val="center" w:pos="4252" w:leader="none"/>
        <w:tab w:val="right" w:pos="8504" w:leader="none"/>
      </w:tabs>
      <w:spacing w:lineRule="auto" w:line="240" w:before="0" w:after="0"/>
    </w:pPr>
    <w:rPr/>
  </w:style>
  <w:style w:type="paragraph" w:styleId="ListParagraph">
    <w:name w:val="List Paragraph"/>
    <w:basedOn w:val="Normal"/>
    <w:uiPriority w:val="34"/>
    <w:qFormat/>
    <w:rsid w:val="00900e81"/>
    <w:pPr>
      <w:spacing w:before="0" w:after="200"/>
      <w:ind w:left="720"/>
      <w:contextualSpacing/>
    </w:pPr>
    <w:rPr/>
  </w:style>
  <w:style w:type="paragraph" w:styleId="CommentText">
    <w:name w:val="annotation text"/>
    <w:basedOn w:val="Normal"/>
    <w:link w:val="TextodecomentrioChar"/>
    <w:uiPriority w:val="99"/>
    <w:semiHidden/>
    <w:unhideWhenUsed/>
    <w:rsid w:val="00057a18"/>
    <w:pPr>
      <w:spacing w:lineRule="auto" w:line="240"/>
    </w:pPr>
    <w:rPr>
      <w:sz w:val="20"/>
      <w:szCs w:val="20"/>
    </w:rPr>
  </w:style>
  <w:style w:type="paragraph" w:styleId="annotationsubject">
    <w:name w:val="annotation subject"/>
    <w:basedOn w:val="CommentText"/>
    <w:next w:val="CommentText"/>
    <w:link w:val="AssuntodocomentrioChar"/>
    <w:uiPriority w:val="99"/>
    <w:semiHidden/>
    <w:unhideWhenUsed/>
    <w:qFormat/>
    <w:rsid w:val="00724c48"/>
    <w:pPr/>
    <w:rPr>
      <w:b/>
      <w:bCs/>
    </w:rPr>
  </w:style>
  <w:style w:type="paragraph" w:styleId="Contedodatabela" w:customStyle="1">
    <w:name w:val="Conteúdo da tabela"/>
    <w:basedOn w:val="Normal"/>
    <w:qFormat/>
    <w:pPr>
      <w:widowControl w:val="false"/>
      <w:suppressLineNumbers/>
    </w:pPr>
    <w:rPr/>
  </w:style>
  <w:style w:type="paragraph" w:styleId="TableContents" w:customStyle="1">
    <w:name w:val="Table Contents"/>
    <w:basedOn w:val="Normal"/>
    <w:qFormat/>
    <w:rsid w:val="00b32a6b"/>
    <w:pPr>
      <w:widowControl w:val="false"/>
      <w:suppressLineNumbers/>
    </w:pPr>
    <w:rPr>
      <w:rFonts w:ascii="Arial" w:hAnsi="Arial" w:cs="Arial"/>
    </w:rPr>
  </w:style>
  <w:style w:type="numbering" w:styleId="NoList" w:default="1">
    <w:name w:val="No List"/>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59"/>
    <w:rsid w:val="00091c17"/>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comments" Target="comments.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9A0F815-8551-4623-A38B-616058C487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Application>LibreOffice/25.2.3.2$Linux_X86_64 LibreOffice_project/520$Build-2</Application>
  <AppVersion>15.0000</AppVersion>
  <Pages>7</Pages>
  <Words>1153</Words>
  <Characters>6361</Characters>
  <CharactersWithSpaces>7393</CharactersWithSpaces>
  <Paragraphs>160</Paragraphs>
  <Company>FFCLRP - USP</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2024-05-13T17:00:00Z</dcterms:created>
  <dc:creator>Eduardo</dc:creator>
  <dc:description/>
  <dc:language>en-US</dc:language>
  <cp:lastModifiedBy/>
  <cp:lastPrinted>2017-04-10T11:25:00Z</cp:lastPrinted>
  <dcterms:modified xsi:type="dcterms:W3CDTF">2026-06-12T14:22:56Z</dcterms:modified>
  <cp:revision>24</cp:revision>
  <dc:subject/>
  <dc:title/>
</cp:coreProperties>
</file>

<file path=docProps/custom.xml><?xml version="1.0" encoding="utf-8"?>
<Properties xmlns="http://schemas.openxmlformats.org/officeDocument/2006/custom-properties" xmlns:vt="http://schemas.openxmlformats.org/officeDocument/2006/docPropsVTypes"/>
</file>