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360"/>
        <w:ind w:left="6480" w:firstLine="720"/>
        <w:jc w:val="both"/>
        <w:rPr/>
      </w:pPr>
      <w:bookmarkStart w:id="0" w:name="_heading=h.mv4pfct487z8"/>
      <w:bookmarkEnd w:id="0"/>
      <w:r>
        <w:rPr>
          <w:rFonts w:eastAsia="Arial" w:cs="Arial" w:ascii="Arial" w:hAnsi="Arial"/>
          <w:color w:val="000000"/>
        </w:rPr>
        <w:t>Padova, 19/01/2026</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r>
        <w:rPr>
          <w:rFonts w:eastAsia="Arial" w:cs="Arial" w:ascii="Arial" w:hAnsi="Arial"/>
          <w:color w:val="000000"/>
        </w:rPr>
        <w:t>Al Medico di Medicina Generale del Sig. Martucci Antonio, nato il 01/04/1966.</w:t>
      </w:r>
    </w:p>
    <w:p>
      <w:pPr>
        <w:pStyle w:val="Normal1"/>
        <w:spacing w:lineRule="auto" w:line="360"/>
        <w:jc w:val="both"/>
        <w:rPr/>
      </w:pPr>
      <w:r>
        <w:rPr>
          <w:rFonts w:eastAsia="Arial" w:cs="Arial" w:ascii="Arial" w:hAnsi="Arial"/>
          <w:color w:val="000000"/>
        </w:rPr>
        <w:t>Egregio Collega, il Sig. Martucci Antonio il giorno 19/12/2025 è stato sottoposto a visita medica presso l'Ambulatorio di Medicina del Lavoro, con il seguente quesito diagnostico “Gonalgia bilaterale, prevalentemente a sx (719.48), Epicondilite bilaterale (726.32), lombalgia acuta dopo aver sollevato dei carichi al lavoro (724.2)”, di possibile origine lavorativa.</w:t>
      </w:r>
    </w:p>
    <w:p>
      <w:pPr>
        <w:pStyle w:val="Titolo1"/>
        <w:spacing w:lineRule="auto" w:line="360"/>
        <w:jc w:val="both"/>
        <w:rPr>
          <w:color w:val="000000"/>
        </w:rPr>
      </w:pPr>
      <w:bookmarkStart w:id="1" w:name="_heading=h.30j0zll"/>
      <w:bookmarkEnd w:id="1"/>
      <w:r>
        <w:rPr>
          <w:rFonts w:eastAsia="Arial" w:cs="Arial" w:ascii="Arial" w:hAnsi="Arial"/>
          <w:b/>
          <w:bCs/>
          <w:color w:val="000000"/>
        </w:rPr>
        <w:t>ANAMNESI LAVORATIVA</w:t>
      </w:r>
    </w:p>
    <w:p>
      <w:pPr>
        <w:pStyle w:val="Normal1"/>
        <w:spacing w:lineRule="auto" w:line="360"/>
        <w:jc w:val="both"/>
        <w:rPr/>
      </w:pPr>
      <w:r>
        <w:rPr>
          <w:rFonts w:eastAsia="Arial" w:cs="Arial" w:ascii="Arial" w:hAnsi="Arial"/>
          <w:color w:val="000000"/>
        </w:rPr>
        <w:t>Si segnala che i dati anamnestici sono stati raccolti anche grazie al contributo della sorella del sig. Martucci, il quale riferisce di aver lavorato:</w:t>
      </w:r>
    </w:p>
    <w:p>
      <w:pPr>
        <w:pStyle w:val="Normal1"/>
        <w:numPr>
          <w:ilvl w:val="0"/>
          <w:numId w:val="3"/>
        </w:numPr>
        <w:spacing w:lineRule="auto" w:line="360"/>
        <w:ind w:left="720" w:hanging="360"/>
        <w:jc w:val="both"/>
        <w:rPr/>
      </w:pPr>
      <w:r>
        <w:rPr>
          <w:rFonts w:eastAsia="Arial" w:cs="Arial" w:ascii="Arial" w:hAnsi="Arial"/>
          <w:color w:val="000000"/>
        </w:rPr>
        <w:t xml:space="preserve">dal 10/1983 al 05/1985 come dipendente presso la ditta Oktoberfest di Mazzuccato R &amp; C, situata a Padova, ristorante–pizzeria con una capienza di circa 300 coperti e una media di circa 150 coperti serali. In particolare, era impiegato con la mansione di </w:t>
      </w:r>
      <w:r>
        <w:rPr>
          <w:rFonts w:eastAsia="Arial" w:cs="Arial" w:ascii="Arial" w:hAnsi="Arial"/>
          <w:b w:val="false"/>
          <w:bCs w:val="false"/>
          <w:color w:val="000000"/>
        </w:rPr>
        <w:t>pizzaiolo</w:t>
      </w:r>
      <w:r>
        <w:rPr>
          <w:rFonts w:eastAsia="Arial" w:cs="Arial" w:ascii="Arial" w:hAnsi="Arial"/>
          <w:color w:val="000000"/>
        </w:rPr>
        <w:t xml:space="preserve">, per </w:t>
      </w:r>
      <w:r>
        <w:rPr>
          <w:rFonts w:eastAsia="Arial" w:cs="Arial" w:ascii="Arial" w:hAnsi="Arial"/>
          <w:b w:val="false"/>
          <w:bCs w:val="false"/>
          <w:color w:val="000000"/>
        </w:rPr>
        <w:t>6 giorni alla settimana</w:t>
      </w:r>
      <w:r>
        <w:rPr>
          <w:rFonts w:eastAsia="Arial" w:cs="Arial" w:ascii="Arial" w:hAnsi="Arial"/>
          <w:color w:val="000000"/>
        </w:rPr>
        <w:t xml:space="preserve">, in collaborazione con un altro pizzaiolo. Riferisce che l’ambiente di lavoro fosse complessivamente pulito; tuttavia, durante le attività si verificava la dispersione di polveri di farina, sia sulle superfici sia nell’aria. Nell’ambito delle mansioni svolte, effettuava la </w:t>
      </w:r>
      <w:r>
        <w:rPr>
          <w:rFonts w:eastAsia="Arial" w:cs="Arial" w:ascii="Arial" w:hAnsi="Arial"/>
          <w:b w:val="false"/>
          <w:bCs w:val="false"/>
          <w:color w:val="000000"/>
        </w:rPr>
        <w:t xml:space="preserve">movimentazione manuale </w:t>
      </w:r>
      <w:r>
        <w:rPr>
          <w:rFonts w:eastAsia="Arial" w:cs="Arial" w:ascii="Arial" w:hAnsi="Arial"/>
          <w:color w:val="000000"/>
        </w:rPr>
        <w:t>dei carichi</w:t>
      </w:r>
      <w:r>
        <w:rPr>
          <w:rFonts w:eastAsia="Arial" w:cs="Arial" w:ascii="Arial" w:hAnsi="Arial"/>
          <w:b w:val="false"/>
          <w:bCs w:val="false"/>
          <w:color w:val="000000"/>
        </w:rPr>
        <w:t xml:space="preserve"> (MMC)</w:t>
      </w:r>
      <w:r>
        <w:rPr>
          <w:rFonts w:eastAsia="Arial" w:cs="Arial" w:ascii="Arial" w:hAnsi="Arial"/>
          <w:color w:val="000000"/>
        </w:rPr>
        <w:t xml:space="preserve">. In particolare riporta: il trasporto di sacchi di farina del peso di circa </w:t>
      </w:r>
      <w:r>
        <w:rPr>
          <w:rFonts w:eastAsia="Arial" w:cs="Arial" w:ascii="Arial" w:hAnsi="Arial"/>
          <w:b w:val="false"/>
          <w:bCs w:val="false"/>
          <w:color w:val="000000"/>
        </w:rPr>
        <w:t>50 kg</w:t>
      </w:r>
      <w:r>
        <w:rPr>
          <w:rFonts w:eastAsia="Arial" w:cs="Arial" w:ascii="Arial" w:hAnsi="Arial"/>
          <w:color w:val="000000"/>
        </w:rPr>
        <w:t xml:space="preserve"> per una distanza di circa </w:t>
      </w:r>
      <w:r>
        <w:rPr>
          <w:rFonts w:eastAsia="Arial" w:cs="Arial" w:ascii="Arial" w:hAnsi="Arial"/>
          <w:b w:val="false"/>
          <w:bCs w:val="false"/>
          <w:color w:val="000000"/>
        </w:rPr>
        <w:t>20 metri</w:t>
      </w:r>
      <w:r>
        <w:rPr>
          <w:rFonts w:eastAsia="Arial" w:cs="Arial" w:ascii="Arial" w:hAnsi="Arial"/>
          <w:color w:val="000000"/>
        </w:rPr>
        <w:t xml:space="preserve">, dal magazzino all’impastatrice aperta e non aspirata, nella quale versava direttamente la farina; la movimentazione di contenitori di sugo di pomodoro per un peso complessivo di circa </w:t>
      </w:r>
      <w:r>
        <w:rPr>
          <w:rFonts w:eastAsia="Arial" w:cs="Arial" w:ascii="Arial" w:hAnsi="Arial"/>
          <w:b w:val="false"/>
          <w:bCs w:val="false"/>
          <w:color w:val="000000"/>
        </w:rPr>
        <w:t>30 kg</w:t>
      </w:r>
      <w:r>
        <w:rPr>
          <w:rFonts w:eastAsia="Arial" w:cs="Arial" w:ascii="Arial" w:hAnsi="Arial"/>
          <w:color w:val="000000"/>
        </w:rPr>
        <w:t xml:space="preserve">; la movimentazione di secchi contenenti circa </w:t>
      </w:r>
      <w:r>
        <w:rPr>
          <w:rFonts w:eastAsia="Arial" w:cs="Arial" w:ascii="Arial" w:hAnsi="Arial"/>
          <w:b w:val="false"/>
          <w:bCs w:val="false"/>
          <w:color w:val="000000"/>
        </w:rPr>
        <w:t>20 litri di acqua</w:t>
      </w:r>
      <w:r>
        <w:rPr>
          <w:rFonts w:eastAsia="Arial" w:cs="Arial" w:ascii="Arial" w:hAnsi="Arial"/>
          <w:color w:val="000000"/>
        </w:rPr>
        <w:t xml:space="preserve"> da versare nell’impastatrice; la movimentazione di cassette in legno contenenti porzioni di impasto, per un peso complessivo di circa </w:t>
      </w:r>
      <w:r>
        <w:rPr>
          <w:rFonts w:eastAsia="Arial" w:cs="Arial" w:ascii="Arial" w:hAnsi="Arial"/>
          <w:b w:val="false"/>
          <w:bCs w:val="false"/>
          <w:color w:val="000000"/>
        </w:rPr>
        <w:t>30 kg</w:t>
      </w:r>
      <w:r>
        <w:rPr>
          <w:rFonts w:eastAsia="Arial" w:cs="Arial" w:ascii="Arial" w:hAnsi="Arial"/>
          <w:color w:val="000000"/>
        </w:rPr>
        <w:t xml:space="preserve">. La movimentazione dei carichi avveniva per un tempo stimato di circa </w:t>
      </w:r>
      <w:r>
        <w:rPr>
          <w:rFonts w:eastAsia="Arial" w:cs="Arial" w:ascii="Arial" w:hAnsi="Arial"/>
          <w:b w:val="false"/>
          <w:bCs w:val="false"/>
          <w:color w:val="000000"/>
        </w:rPr>
        <w:t>4 ore al giorno</w:t>
      </w:r>
      <w:r>
        <w:rPr>
          <w:rFonts w:eastAsia="Arial" w:cs="Arial" w:ascii="Arial" w:hAnsi="Arial"/>
          <w:color w:val="000000"/>
        </w:rPr>
        <w:t xml:space="preserve">, con un numero di sollevamenti e trasporti </w:t>
      </w:r>
      <w:r>
        <w:rPr>
          <w:rFonts w:eastAsia="Arial" w:cs="Arial" w:ascii="Arial" w:hAnsi="Arial"/>
          <w:b w:val="false"/>
          <w:bCs w:val="false"/>
          <w:color w:val="000000"/>
        </w:rPr>
        <w:t>non precisamente quantificabile. Riferisce di aver infornato</w:t>
      </w:r>
      <w:r>
        <w:rPr>
          <w:rFonts w:eastAsia="Arial" w:cs="Arial" w:ascii="Arial" w:hAnsi="Arial"/>
          <w:color w:val="000000"/>
        </w:rPr>
        <w:t xml:space="preserve"> circa 1400 pizze alla settimana.</w:t>
      </w:r>
      <w:r>
        <w:rPr/>
        <w:t xml:space="preserve"> </w:t>
      </w:r>
      <w:r>
        <w:rPr>
          <w:rFonts w:eastAsia="Arial" w:cs="Arial" w:ascii="Arial" w:hAnsi="Arial"/>
          <w:color w:val="000000"/>
        </w:rPr>
        <w:t>Non utilizzava dispositivi di protezione individuale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 xml:space="preserve">dal 06/1985 al 02/1987 come dipendente presso la ditta Euro Market situata a Vigonza (PD), specializzata in attività di serigrafia. In particolare, era addetto alla conduzione di macchinari dedicati alla </w:t>
      </w:r>
      <w:r>
        <w:rPr>
          <w:rFonts w:eastAsia="Arial" w:cs="Arial" w:ascii="Arial" w:hAnsi="Arial"/>
          <w:b w:val="false"/>
          <w:bCs w:val="false"/>
          <w:color w:val="000000"/>
        </w:rPr>
        <w:t>distribuzione dello smalto sulle superfici</w:t>
      </w:r>
      <w:r>
        <w:rPr>
          <w:rFonts w:eastAsia="Arial" w:cs="Arial" w:ascii="Arial" w:hAnsi="Arial"/>
          <w:color w:val="000000"/>
        </w:rPr>
        <w:t xml:space="preserve">. Lo smalto era preventivamente versato nei macchinari dal Sig. Martucci, mediante travaso da contenitori del peso di circa </w:t>
      </w:r>
      <w:r>
        <w:rPr>
          <w:rFonts w:eastAsia="Arial" w:cs="Arial" w:ascii="Arial" w:hAnsi="Arial"/>
          <w:b w:val="false"/>
          <w:bCs w:val="false"/>
          <w:color w:val="000000"/>
        </w:rPr>
        <w:t>1 kg</w:t>
      </w:r>
      <w:r>
        <w:rPr>
          <w:rFonts w:eastAsia="Arial" w:cs="Arial" w:ascii="Arial" w:hAnsi="Arial"/>
          <w:color w:val="000000"/>
        </w:rPr>
        <w:t xml:space="preserve">, operazione effettuata mediamente </w:t>
      </w:r>
      <w:r>
        <w:rPr>
          <w:rFonts w:eastAsia="Arial" w:cs="Arial" w:ascii="Arial" w:hAnsi="Arial"/>
          <w:b w:val="false"/>
          <w:bCs w:val="false"/>
          <w:color w:val="000000"/>
        </w:rPr>
        <w:t>5–6 volte al giorno</w:t>
      </w:r>
      <w:r>
        <w:rPr>
          <w:rFonts w:eastAsia="Arial" w:cs="Arial" w:ascii="Arial" w:hAnsi="Arial"/>
          <w:color w:val="000000"/>
        </w:rPr>
        <w:t xml:space="preserve">. Per la movimentazione di altri prodotti e materiali, l’azienda era dotata di </w:t>
      </w:r>
      <w:r>
        <w:rPr>
          <w:rFonts w:eastAsia="Arial" w:cs="Arial" w:ascii="Arial" w:hAnsi="Arial"/>
          <w:b w:val="false"/>
          <w:bCs w:val="false"/>
          <w:color w:val="000000"/>
        </w:rPr>
        <w:t>mezzi di sollevamento e trasporto</w:t>
      </w:r>
      <w:r>
        <w:rPr>
          <w:rFonts w:eastAsia="Arial" w:cs="Arial" w:ascii="Arial" w:hAnsi="Arial"/>
          <w:color w:val="000000"/>
        </w:rPr>
        <w:t xml:space="preserve"> (muletti), che il lavoratore non conduceva, nonché di </w:t>
      </w:r>
      <w:r>
        <w:rPr>
          <w:rFonts w:eastAsia="Arial" w:cs="Arial" w:ascii="Arial" w:hAnsi="Arial"/>
          <w:b w:val="false"/>
          <w:bCs w:val="false"/>
          <w:color w:val="000000"/>
        </w:rPr>
        <w:t>transpallet</w:t>
      </w:r>
      <w:r>
        <w:rPr>
          <w:rFonts w:eastAsia="Arial" w:cs="Arial" w:ascii="Arial" w:hAnsi="Arial"/>
          <w:color w:val="000000"/>
        </w:rPr>
        <w:t>, utilizzati per il trasferimento di merce di varia natura alle postazioni dei colleghi, senza necessità di movimentazione manuale diretta dei carichi.</w:t>
      </w:r>
      <w:r>
        <w:rPr/>
        <w:t xml:space="preserve"> </w:t>
      </w:r>
      <w:r>
        <w:rPr>
          <w:rFonts w:eastAsia="Arial" w:cs="Arial" w:ascii="Arial" w:hAnsi="Arial"/>
          <w:color w:val="000000"/>
        </w:rPr>
        <w:t>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10/1985 al 01/1986 come pizzaiolo presso la ditta Layousse Joseph situata a Sarmeola di Rubano (PD), svolgendo mansioni analoghe a quelle precedentemente descritte presso Oktoberfest.</w:t>
      </w:r>
      <w:r>
        <w:rPr/>
        <w:t xml:space="preserve"> </w:t>
      </w:r>
      <w:r>
        <w:rPr>
          <w:rFonts w:eastAsia="Arial" w:cs="Arial" w:ascii="Arial" w:hAnsi="Arial"/>
          <w:color w:val="000000"/>
        </w:rPr>
        <w:t>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 07/1987 al 01/1988 riferisce di non ricordare che tipo di lavoro ha svolto presso la ditta Astero Fratelli situata a Padova; aggiunge di aver probabilmente svolto la mansione di magazziniere, con la MMC di oggetti del peso inferiore ai 3 chilogrammi.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 xml:space="preserve">dal 08/1988 al 03/1989 come dipendente presso la ditta Bargioni La Bottega situata a Padova. Ha svolto attività lavorativa presso un </w:t>
      </w:r>
      <w:r>
        <w:rPr>
          <w:rFonts w:eastAsia="Arial" w:cs="Arial" w:ascii="Arial" w:hAnsi="Arial"/>
          <w:b w:val="false"/>
          <w:bCs w:val="false"/>
          <w:color w:val="000000"/>
        </w:rPr>
        <w:t>negozio di vendita di prodotti in cristallo e porcellana</w:t>
      </w:r>
      <w:r>
        <w:rPr>
          <w:rFonts w:eastAsia="Arial" w:cs="Arial" w:ascii="Arial" w:hAnsi="Arial"/>
          <w:color w:val="000000"/>
        </w:rPr>
        <w:t xml:space="preserve"> (bicchieri, piatti, ecc.), realtà di </w:t>
      </w:r>
      <w:r>
        <w:rPr>
          <w:rFonts w:eastAsia="Arial" w:cs="Arial" w:ascii="Arial" w:hAnsi="Arial"/>
          <w:b w:val="false"/>
          <w:bCs w:val="false"/>
          <w:color w:val="000000"/>
        </w:rPr>
        <w:t>piccole dimensioni a conduzione familiare</w:t>
      </w:r>
      <w:r>
        <w:rPr>
          <w:rFonts w:eastAsia="Arial" w:cs="Arial" w:ascii="Arial" w:hAnsi="Arial"/>
          <w:color w:val="000000"/>
        </w:rPr>
        <w:t xml:space="preserve">, svolgendo mansioni plurime in relazione alle esigenze operative. In particolare, ricopriva i ruoli di </w:t>
      </w:r>
      <w:r>
        <w:rPr>
          <w:rFonts w:eastAsia="Arial" w:cs="Arial" w:ascii="Arial" w:hAnsi="Arial"/>
          <w:b w:val="false"/>
          <w:bCs w:val="false"/>
          <w:color w:val="000000"/>
        </w:rPr>
        <w:t>commesso</w:t>
      </w:r>
      <w:r>
        <w:rPr>
          <w:rFonts w:eastAsia="Arial" w:cs="Arial" w:ascii="Arial" w:hAnsi="Arial"/>
          <w:color w:val="000000"/>
        </w:rPr>
        <w:t xml:space="preserve">, </w:t>
      </w:r>
      <w:r>
        <w:rPr>
          <w:rFonts w:eastAsia="Arial" w:cs="Arial" w:ascii="Arial" w:hAnsi="Arial"/>
          <w:b w:val="false"/>
          <w:bCs w:val="false"/>
          <w:color w:val="000000"/>
        </w:rPr>
        <w:t>magazziniere</w:t>
      </w:r>
      <w:r>
        <w:rPr>
          <w:rFonts w:eastAsia="Arial" w:cs="Arial" w:ascii="Arial" w:hAnsi="Arial"/>
          <w:color w:val="000000"/>
        </w:rPr>
        <w:t xml:space="preserve"> e </w:t>
      </w:r>
      <w:r>
        <w:rPr>
          <w:rFonts w:eastAsia="Arial" w:cs="Arial" w:ascii="Arial" w:hAnsi="Arial"/>
          <w:b w:val="false"/>
          <w:bCs w:val="false"/>
          <w:color w:val="000000"/>
        </w:rPr>
        <w:t>addetto alle consegne</w:t>
      </w:r>
      <w:r>
        <w:rPr>
          <w:rFonts w:eastAsia="Arial" w:cs="Arial" w:ascii="Arial" w:hAnsi="Arial"/>
          <w:color w:val="000000"/>
        </w:rPr>
        <w:t xml:space="preserve">. Il Sig. Martucci provvedeva al </w:t>
      </w:r>
      <w:r>
        <w:rPr>
          <w:rFonts w:eastAsia="Arial" w:cs="Arial" w:ascii="Arial" w:hAnsi="Arial"/>
          <w:b w:val="false"/>
          <w:bCs w:val="false"/>
          <w:color w:val="000000"/>
        </w:rPr>
        <w:t>confezionamento dei prodotti</w:t>
      </w:r>
      <w:r>
        <w:rPr>
          <w:rFonts w:eastAsia="Arial" w:cs="Arial" w:ascii="Arial" w:hAnsi="Arial"/>
          <w:color w:val="000000"/>
        </w:rPr>
        <w:t xml:space="preserve"> e al loro </w:t>
      </w:r>
      <w:r>
        <w:rPr>
          <w:rFonts w:eastAsia="Arial" w:cs="Arial" w:ascii="Arial" w:hAnsi="Arial"/>
          <w:b w:val="false"/>
          <w:bCs w:val="false"/>
          <w:color w:val="000000"/>
        </w:rPr>
        <w:t>caricamento sul mezzo di trasporto aziendale (un Ape 50)</w:t>
      </w:r>
      <w:r>
        <w:rPr>
          <w:rFonts w:eastAsia="Arial" w:cs="Arial" w:ascii="Arial" w:hAnsi="Arial"/>
          <w:color w:val="000000"/>
        </w:rPr>
        <w:t xml:space="preserve">, con il quale venivano successivamente effettuate le consegne ai clienti. Nei periodi in cui non era impegnato nelle attività di imballaggio e trasporto, svolgeva la mansione di </w:t>
      </w:r>
      <w:r>
        <w:rPr>
          <w:rFonts w:eastAsia="Arial" w:cs="Arial" w:ascii="Arial" w:hAnsi="Arial"/>
          <w:b w:val="false"/>
          <w:bCs w:val="false"/>
          <w:color w:val="000000"/>
        </w:rPr>
        <w:t>cassiere</w:t>
      </w:r>
      <w:r>
        <w:rPr>
          <w:rFonts w:eastAsia="Arial" w:cs="Arial" w:ascii="Arial" w:hAnsi="Arial"/>
          <w:color w:val="000000"/>
        </w:rPr>
        <w:t xml:space="preserve">. I colli confezionati avevano un peso medio di circa </w:t>
      </w:r>
      <w:r>
        <w:rPr>
          <w:rFonts w:eastAsia="Arial" w:cs="Arial" w:ascii="Arial" w:hAnsi="Arial"/>
          <w:b w:val="false"/>
          <w:bCs w:val="false"/>
          <w:color w:val="000000"/>
        </w:rPr>
        <w:t>20 kg</w:t>
      </w:r>
      <w:r>
        <w:rPr>
          <w:rFonts w:eastAsia="Arial" w:cs="Arial" w:ascii="Arial" w:hAnsi="Arial"/>
          <w:color w:val="000000"/>
        </w:rPr>
        <w:t xml:space="preserve">, per un numero stimato di </w:t>
      </w:r>
      <w:r>
        <w:rPr>
          <w:rFonts w:eastAsia="Arial" w:cs="Arial" w:ascii="Arial" w:hAnsi="Arial"/>
          <w:b w:val="false"/>
          <w:bCs w:val="false"/>
          <w:color w:val="000000"/>
        </w:rPr>
        <w:t>due pacchi al giorno</w:t>
      </w:r>
      <w:r>
        <w:rPr>
          <w:rFonts w:eastAsia="Arial" w:cs="Arial" w:ascii="Arial" w:hAnsi="Arial"/>
          <w:color w:val="000000"/>
        </w:rPr>
        <w:t>.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01/1990 al 03/1990 come dipendente presso la ditta Italmin sita a Padova, azienda che trattava minuteria metallica, in cui il Sig. Martucci era addetto allo stampaggio a caldo delle etichette. Nega di aver mobilizzato carichi in questo periodo.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04/1990 al 07/1990 come dipendente presso la ditta Cesare Rizzato a Padova, un’</w:t>
      </w:r>
      <w:r>
        <w:rPr>
          <w:rFonts w:eastAsia="Arial" w:cs="Arial" w:ascii="Arial" w:hAnsi="Arial"/>
          <w:b w:val="false"/>
          <w:bCs w:val="false"/>
          <w:color w:val="000000"/>
        </w:rPr>
        <w:t>industria operante nel settore della produzione di biciclette</w:t>
      </w:r>
      <w:r>
        <w:rPr>
          <w:rFonts w:eastAsia="Arial" w:cs="Arial" w:ascii="Arial" w:hAnsi="Arial"/>
          <w:color w:val="000000"/>
        </w:rPr>
        <w:t xml:space="preserve">. In tale contesto era addetto alla </w:t>
      </w:r>
      <w:r>
        <w:rPr>
          <w:rFonts w:eastAsia="Arial" w:cs="Arial" w:ascii="Arial" w:hAnsi="Arial"/>
          <w:b w:val="false"/>
          <w:bCs w:val="false"/>
          <w:color w:val="000000"/>
        </w:rPr>
        <w:t>supervisione delle operazioni di saldatura automatizzata dei cerchioni</w:t>
      </w:r>
      <w:r>
        <w:rPr>
          <w:rFonts w:eastAsia="Arial" w:cs="Arial" w:ascii="Arial" w:hAnsi="Arial"/>
          <w:color w:val="000000"/>
        </w:rPr>
        <w:t xml:space="preserve">. Durante questo periodo non svolgeva attività di </w:t>
      </w:r>
      <w:r>
        <w:rPr>
          <w:rFonts w:eastAsia="Arial" w:cs="Arial" w:ascii="Arial" w:hAnsi="Arial"/>
          <w:b w:val="false"/>
          <w:bCs w:val="false"/>
          <w:color w:val="000000"/>
        </w:rPr>
        <w:t>movimentazione manuale dei carichi</w:t>
      </w:r>
      <w:r>
        <w:rPr>
          <w:rFonts w:eastAsia="Arial" w:cs="Arial" w:ascii="Arial" w:hAnsi="Arial"/>
          <w:color w:val="000000"/>
        </w:rPr>
        <w:t xml:space="preserve">. La macchina saldatrice era di tipo </w:t>
      </w:r>
      <w:r>
        <w:rPr>
          <w:rFonts w:eastAsia="Arial" w:cs="Arial" w:ascii="Arial" w:hAnsi="Arial"/>
          <w:b w:val="false"/>
          <w:bCs w:val="false"/>
          <w:color w:val="000000"/>
        </w:rPr>
        <w:t>semiautomatico</w:t>
      </w:r>
      <w:r>
        <w:rPr>
          <w:rFonts w:eastAsia="Arial" w:cs="Arial" w:ascii="Arial" w:hAnsi="Arial"/>
          <w:color w:val="000000"/>
        </w:rPr>
        <w:t xml:space="preserve"> e richiedeva la presenza del Sig. Martucci </w:t>
      </w:r>
      <w:r>
        <w:rPr>
          <w:rFonts w:eastAsia="Arial" w:cs="Arial" w:ascii="Arial" w:hAnsi="Arial"/>
          <w:b w:val="false"/>
          <w:bCs w:val="false"/>
          <w:color w:val="000000"/>
        </w:rPr>
        <w:t>all’interno della cabina di lavoro</w:t>
      </w:r>
      <w:r>
        <w:rPr>
          <w:rFonts w:eastAsia="Arial" w:cs="Arial" w:ascii="Arial" w:hAnsi="Arial"/>
          <w:color w:val="000000"/>
        </w:rPr>
        <w:t xml:space="preserve">. Riferisce che il sistema di </w:t>
      </w:r>
      <w:r>
        <w:rPr>
          <w:rFonts w:eastAsia="Arial" w:cs="Arial" w:ascii="Arial" w:hAnsi="Arial"/>
          <w:b w:val="false"/>
          <w:bCs w:val="false"/>
          <w:color w:val="000000"/>
        </w:rPr>
        <w:t>aspirazione dell’aria all’interno della cabina non fosse efficac</w:t>
      </w:r>
      <w:r>
        <w:rPr>
          <w:rFonts w:eastAsia="Arial" w:cs="Arial" w:ascii="Arial" w:hAnsi="Arial"/>
          <w:color w:val="000000"/>
        </w:rPr>
        <w:t xml:space="preserve">e, con conseguente </w:t>
      </w:r>
      <w:r>
        <w:rPr>
          <w:rFonts w:eastAsia="Arial" w:cs="Arial" w:ascii="Arial" w:hAnsi="Arial"/>
          <w:b w:val="false"/>
          <w:bCs w:val="false"/>
          <w:color w:val="000000"/>
        </w:rPr>
        <w:t>verosimile esposizione a fumi di saldatura</w:t>
      </w:r>
      <w:r>
        <w:rPr>
          <w:rFonts w:eastAsia="Arial" w:cs="Arial" w:ascii="Arial" w:hAnsi="Arial"/>
          <w:color w:val="000000"/>
        </w:rPr>
        <w:t>.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01/09/1990 al 24/09/1990 come magazziniere presso la ditta Nuova Larsa a Padova, azienda che si occupava di stoccaggio e distribuzione di colori.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10/1990 al 05/1991 come magazziniere presso la ditta s.a.s. Testi Ferruccio di Ferruccio e Gianluigi, situata a Padova. Riporta la MMC di giocattoli del peso inferiore a 3 Kg.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07/1991 al 09/1991 come pizzaiolo presso la ditta Regazzo Renzo, situata a Padova. Le caratteristiche del lavoro erano analoghe a quello svolto presso la ditta ‘Oktoberfest’ sopracitata.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tra il 1991 e il 1995 non risulta documentata alcuna attività lavorativa;</w:t>
      </w:r>
    </w:p>
    <w:p>
      <w:pPr>
        <w:pStyle w:val="Normal1"/>
        <w:numPr>
          <w:ilvl w:val="0"/>
          <w:numId w:val="3"/>
        </w:numPr>
        <w:spacing w:lineRule="auto" w:line="360"/>
        <w:ind w:left="720" w:hanging="360"/>
        <w:jc w:val="both"/>
        <w:rPr/>
      </w:pPr>
      <w:r>
        <w:rPr>
          <w:rFonts w:eastAsia="Arial" w:cs="Arial" w:ascii="Arial" w:hAnsi="Arial"/>
          <w:color w:val="000000"/>
        </w:rPr>
        <w:t xml:space="preserve">dal 08/1995 al 12/2000 come titolare d’impresa presso la ditta Martucci Antonio. Indicativamente, nel </w:t>
      </w:r>
      <w:r>
        <w:rPr>
          <w:rFonts w:eastAsia="Arial" w:cs="Arial" w:ascii="Arial" w:hAnsi="Arial"/>
          <w:b w:val="false"/>
          <w:bCs w:val="false"/>
          <w:color w:val="000000"/>
        </w:rPr>
        <w:t>primo anno</w:t>
      </w:r>
      <w:r>
        <w:rPr>
          <w:rFonts w:eastAsia="Arial" w:cs="Arial" w:ascii="Arial" w:hAnsi="Arial"/>
          <w:color w:val="000000"/>
        </w:rPr>
        <w:t xml:space="preserve"> ha operato con mansione di </w:t>
      </w:r>
      <w:r>
        <w:rPr>
          <w:rFonts w:eastAsia="Arial" w:cs="Arial" w:ascii="Arial" w:hAnsi="Arial"/>
          <w:b w:val="false"/>
          <w:bCs w:val="false"/>
          <w:color w:val="000000"/>
        </w:rPr>
        <w:t>pizzaiolo</w:t>
      </w:r>
      <w:r>
        <w:rPr>
          <w:rFonts w:eastAsia="Arial" w:cs="Arial" w:ascii="Arial" w:hAnsi="Arial"/>
          <w:color w:val="000000"/>
        </w:rPr>
        <w:t xml:space="preserve">; successivamente ha proseguito l’attività come </w:t>
      </w:r>
      <w:r>
        <w:rPr>
          <w:rFonts w:eastAsia="Arial" w:cs="Arial" w:ascii="Arial" w:hAnsi="Arial"/>
          <w:b w:val="false"/>
          <w:bCs w:val="false"/>
          <w:color w:val="000000"/>
        </w:rPr>
        <w:t>impresa edile individuale</w:t>
      </w:r>
      <w:r>
        <w:rPr>
          <w:rFonts w:eastAsia="Arial" w:cs="Arial" w:ascii="Arial" w:hAnsi="Arial"/>
          <w:color w:val="000000"/>
        </w:rPr>
        <w:t xml:space="preserve">. L’attività di pizzaiolo era analoga a quella svolta presso la ditta ‘Oktoberfest’ sopracitata. Per quanto riguarda l’attività in ambito edile, svolgeva </w:t>
      </w:r>
      <w:r>
        <w:rPr>
          <w:rFonts w:eastAsia="Arial" w:cs="Arial" w:ascii="Arial" w:hAnsi="Arial"/>
          <w:b w:val="false"/>
          <w:bCs w:val="false"/>
          <w:color w:val="000000"/>
        </w:rPr>
        <w:t>la rasatura delle pareti</w:t>
      </w:r>
      <w:r>
        <w:rPr>
          <w:rFonts w:eastAsia="Arial" w:cs="Arial" w:ascii="Arial" w:hAnsi="Arial"/>
          <w:color w:val="000000"/>
        </w:rPr>
        <w:t xml:space="preserve">, con </w:t>
      </w:r>
      <w:r>
        <w:rPr>
          <w:rFonts w:eastAsia="Arial" w:cs="Arial" w:ascii="Arial" w:hAnsi="Arial"/>
          <w:b w:val="false"/>
          <w:bCs w:val="false"/>
          <w:color w:val="000000"/>
        </w:rPr>
        <w:t>movimentazione manuale di sacchi di cemento</w:t>
      </w:r>
      <w:r>
        <w:rPr>
          <w:rFonts w:eastAsia="Arial" w:cs="Arial" w:ascii="Arial" w:hAnsi="Arial"/>
          <w:color w:val="000000"/>
        </w:rPr>
        <w:t xml:space="preserve"> del peso di circa </w:t>
      </w:r>
      <w:r>
        <w:rPr>
          <w:rFonts w:eastAsia="Arial" w:cs="Arial" w:ascii="Arial" w:hAnsi="Arial"/>
          <w:b w:val="false"/>
          <w:bCs w:val="false"/>
          <w:color w:val="000000"/>
        </w:rPr>
        <w:t>50 kg</w:t>
      </w:r>
      <w:r>
        <w:rPr>
          <w:rFonts w:eastAsia="Arial" w:cs="Arial" w:ascii="Arial" w:hAnsi="Arial"/>
          <w:color w:val="000000"/>
        </w:rPr>
        <w:t xml:space="preserve">. Eseguiva inoltre, con maggiore frequenza, </w:t>
      </w:r>
      <w:r>
        <w:rPr>
          <w:rFonts w:eastAsia="Arial" w:cs="Arial" w:ascii="Arial" w:hAnsi="Arial"/>
          <w:b w:val="false"/>
          <w:bCs w:val="false"/>
          <w:color w:val="000000"/>
        </w:rPr>
        <w:t>opere di demolizione</w:t>
      </w:r>
      <w:r>
        <w:rPr>
          <w:rFonts w:eastAsia="Arial" w:cs="Arial" w:ascii="Arial" w:hAnsi="Arial"/>
          <w:color w:val="000000"/>
        </w:rPr>
        <w:t xml:space="preserve"> mediante l’utilizzo di strumenti tradizionali (es. </w:t>
      </w:r>
      <w:r>
        <w:rPr>
          <w:rFonts w:eastAsia="Arial" w:cs="Arial" w:ascii="Arial" w:hAnsi="Arial"/>
          <w:b w:val="false"/>
          <w:bCs w:val="false"/>
          <w:color w:val="000000"/>
        </w:rPr>
        <w:t>martello pneumatico</w:t>
      </w:r>
      <w:r>
        <w:rPr>
          <w:rFonts w:eastAsia="Arial" w:cs="Arial" w:ascii="Arial" w:hAnsi="Arial"/>
          <w:color w:val="000000"/>
        </w:rPr>
        <w:t xml:space="preserve">), nonché attività di </w:t>
      </w:r>
      <w:r>
        <w:rPr>
          <w:rFonts w:eastAsia="Arial" w:cs="Arial" w:ascii="Arial" w:hAnsi="Arial"/>
          <w:b w:val="false"/>
          <w:bCs w:val="false"/>
          <w:color w:val="000000"/>
        </w:rPr>
        <w:t>realizzazione di pareti mobili in cartongesso</w:t>
      </w:r>
      <w:r>
        <w:rPr>
          <w:rFonts w:eastAsia="Arial" w:cs="Arial" w:ascii="Arial" w:hAnsi="Arial"/>
          <w:color w:val="000000"/>
        </w:rPr>
        <w:t xml:space="preserve">; riferisce di </w:t>
      </w:r>
      <w:r>
        <w:rPr>
          <w:rFonts w:eastAsia="Arial" w:cs="Arial" w:ascii="Arial" w:hAnsi="Arial"/>
          <w:b w:val="false"/>
          <w:bCs w:val="false"/>
          <w:color w:val="000000"/>
        </w:rPr>
        <w:t>non aver svol</w:t>
      </w:r>
      <w:r>
        <w:rPr>
          <w:rFonts w:eastAsia="Arial" w:cs="Arial" w:ascii="Arial" w:hAnsi="Arial"/>
          <w:color w:val="000000"/>
        </w:rPr>
        <w:t>to</w:t>
      </w:r>
      <w:r>
        <w:rPr>
          <w:rFonts w:eastAsia="Arial" w:cs="Arial" w:ascii="Arial" w:hAnsi="Arial"/>
          <w:b w:val="false"/>
          <w:bCs w:val="false"/>
          <w:color w:val="000000"/>
        </w:rPr>
        <w:t xml:space="preserve"> lavori di pavimentazione</w:t>
      </w:r>
      <w:r>
        <w:rPr>
          <w:rFonts w:eastAsia="Arial" w:cs="Arial" w:ascii="Arial" w:hAnsi="Arial"/>
          <w:color w:val="000000"/>
        </w:rPr>
        <w:t xml:space="preserve">. L’utilizzo di </w:t>
      </w:r>
      <w:r>
        <w:rPr>
          <w:rFonts w:eastAsia="Arial" w:cs="Arial" w:ascii="Arial" w:hAnsi="Arial"/>
          <w:b w:val="false"/>
          <w:bCs w:val="false"/>
          <w:color w:val="000000"/>
        </w:rPr>
        <w:t>tassellatori</w:t>
      </w:r>
      <w:r>
        <w:rPr>
          <w:rFonts w:eastAsia="Arial" w:cs="Arial" w:ascii="Arial" w:hAnsi="Arial"/>
          <w:color w:val="000000"/>
        </w:rPr>
        <w:t xml:space="preserve"> era frequente, sebbene non quotidiano. Durante le lavorazioni assumeva spesso </w:t>
      </w:r>
      <w:r>
        <w:rPr>
          <w:rFonts w:eastAsia="Arial" w:cs="Arial" w:ascii="Arial" w:hAnsi="Arial"/>
          <w:b w:val="false"/>
          <w:bCs w:val="false"/>
          <w:color w:val="000000"/>
        </w:rPr>
        <w:t>posture incongrue</w:t>
      </w:r>
      <w:r>
        <w:rPr>
          <w:rFonts w:eastAsia="Arial" w:cs="Arial" w:ascii="Arial" w:hAnsi="Arial"/>
          <w:color w:val="000000"/>
        </w:rPr>
        <w:t xml:space="preserve">, in particolare la </w:t>
      </w:r>
      <w:r>
        <w:rPr>
          <w:rFonts w:eastAsia="Arial" w:cs="Arial" w:ascii="Arial" w:hAnsi="Arial"/>
          <w:b w:val="false"/>
          <w:bCs w:val="false"/>
          <w:color w:val="000000"/>
        </w:rPr>
        <w:t>posizione inginocchiata</w:t>
      </w:r>
      <w:r>
        <w:rPr>
          <w:rFonts w:eastAsia="Arial" w:cs="Arial" w:ascii="Arial" w:hAnsi="Arial"/>
          <w:color w:val="000000"/>
        </w:rPr>
        <w:t xml:space="preserve">, abbassandosi prevalentemente sul </w:t>
      </w:r>
      <w:r>
        <w:rPr>
          <w:rFonts w:eastAsia="Arial" w:cs="Arial" w:ascii="Arial" w:hAnsi="Arial"/>
          <w:b w:val="false"/>
          <w:bCs w:val="false"/>
          <w:color w:val="000000"/>
        </w:rPr>
        <w:t>ginocchio sinistro</w:t>
      </w:r>
      <w:r>
        <w:rPr>
          <w:rFonts w:eastAsia="Arial" w:cs="Arial" w:ascii="Arial" w:hAnsi="Arial"/>
          <w:color w:val="000000"/>
        </w:rPr>
        <w:t>, per l’esecuzione delle operazioni di livellatura del cemento e rasatura delle superfici. Riferisce inoltre un’esposizione a polveri generate dal taglio di pannelli in cartongesso durante le fasi operative. Non usava DPI. Non era sottoposto a visite di sorveglianza sanitaria;</w:t>
      </w:r>
    </w:p>
    <w:p>
      <w:pPr>
        <w:pStyle w:val="Normal1"/>
        <w:numPr>
          <w:ilvl w:val="0"/>
          <w:numId w:val="3"/>
        </w:numPr>
        <w:spacing w:lineRule="auto" w:line="360"/>
        <w:ind w:left="720" w:hanging="360"/>
        <w:jc w:val="both"/>
        <w:rPr/>
      </w:pPr>
      <w:r>
        <w:rPr>
          <w:rFonts w:eastAsia="Arial" w:cs="Arial" w:ascii="Arial" w:hAnsi="Arial"/>
          <w:color w:val="000000"/>
        </w:rPr>
        <w:t>Dal 2000 al 2007 non risulta documentata alcuna attività lavorativa;</w:t>
      </w:r>
    </w:p>
    <w:p>
      <w:pPr>
        <w:pStyle w:val="Normal1"/>
        <w:numPr>
          <w:ilvl w:val="0"/>
          <w:numId w:val="3"/>
        </w:numPr>
        <w:spacing w:lineRule="auto" w:line="360"/>
        <w:ind w:left="720" w:hanging="360"/>
        <w:jc w:val="both"/>
        <w:rPr>
          <w:color w:val="000000"/>
        </w:rPr>
      </w:pPr>
      <w:r>
        <w:rPr>
          <w:rFonts w:eastAsia="Arial" w:cs="Arial" w:ascii="Arial" w:hAnsi="Arial"/>
          <w:color w:val="000000"/>
        </w:rPr>
        <w:t>dal 04/2007 al 12/2007 come escavatorista presso la ditta Salvagnin Paolo situata a Bovolenta (PD). Riferisce di aver svolto l’attività lavorativa utilizzando uno scavatore modello Hitachi 400; il suddetto modello non risulta presente nel sito portaleagentifisici.it. Tuttavia, per confronto con modelli analoghi disponibili sul portale, si stimano valori di vibrazione al corpo intero compresi tra 0,4 m/s² e 1 m/s².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07/2007 al 01/2008 come pizzaiolo presso la ditta Saviolo Enrico Ocio ai sassi con contratto part-time, prevalentemente addetto alle mansioni presso il forno, occupandosi principalmente di infornare, sfornare e girare le pizze.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01/2008 al 12/2008 come titolare presso la ditta Martucci Antonio, come impresa edile individuale e specializzata nella costruzione di pareti in cartongesso. Le modalità operative sono riferite come analoghe a quelle della mansione di cartongessista svolta nel primo periodo lavorativo come azienda individuale. Non utilizzava DPI. Non era sottoposto a sorveglianza sanitaria;</w:t>
      </w:r>
    </w:p>
    <w:p>
      <w:pPr>
        <w:pStyle w:val="Normal1"/>
        <w:numPr>
          <w:ilvl w:val="0"/>
          <w:numId w:val="3"/>
        </w:numPr>
        <w:spacing w:lineRule="auto" w:line="360"/>
        <w:ind w:left="720" w:hanging="360"/>
        <w:jc w:val="both"/>
        <w:rPr/>
      </w:pPr>
      <w:r>
        <w:rPr>
          <w:rFonts w:eastAsia="Arial" w:cs="Arial" w:ascii="Arial" w:hAnsi="Arial"/>
          <w:color w:val="000000"/>
        </w:rPr>
        <w:t>dal 2009 al 2015 come cartongessista a chiamata nel corso della settimana e occasionalmente a chiamata nel fine settimana, senza variazioni di mansioni significative rispetto all’attività individuale svolta in precedenza. Nel corso di questo periodo ha lavorato per diverse aziende, tra le quali la principale, per durata dell’incarico, risulta la s.n.c. SIKA. Non era sottoposto a sorveglianza sanitaria.</w:t>
      </w:r>
    </w:p>
    <w:p>
      <w:pPr>
        <w:pStyle w:val="Normal1"/>
        <w:keepNext w:val="false"/>
        <w:keepLines w:val="false"/>
        <w:pageBreakBefore w:val="false"/>
        <w:widowControl/>
        <w:numPr>
          <w:ilvl w:val="0"/>
          <w:numId w:val="3"/>
        </w:numPr>
        <w:pBdr/>
        <w:shd w:val="clear" w:fill="auto"/>
        <w:spacing w:lineRule="auto" w:line="360" w:before="0" w:after="140"/>
        <w:ind w:left="720" w:right="0" w:hanging="360"/>
        <w:jc w:val="both"/>
        <w:rPr>
          <w:rFonts w:ascii="Calibri" w:hAnsi="Calibri" w:eastAsia="Calibri" w:cs="Calibri"/>
          <w:b w:val="false"/>
          <w:b w:val="false"/>
          <w:bCs w:val="false"/>
          <w:i w:val="false"/>
          <w:i w:val="false"/>
          <w:iCs w:val="false"/>
          <w:caps w:val="false"/>
          <w:smallCaps w:val="false"/>
          <w:strike w:val="false"/>
          <w:dstrike w:val="false"/>
          <w:color w:val="00000A"/>
          <w:position w:val="0"/>
          <w:sz w:val="24"/>
          <w:sz w:val="24"/>
          <w:szCs w:val="24"/>
          <w:u w:val="none"/>
          <w:vertAlign w:val="baseline"/>
        </w:rPr>
      </w:pP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Dal 2015 al gennaio 2025 come dipendente nel settore edilizio presso diverse aziende. In particolare, </w:t>
      </w:r>
      <w:r>
        <w:rPr>
          <w:rFonts w:eastAsia="Arial" w:cs="Arial" w:ascii="Arial" w:hAnsi="Arial"/>
          <w:color w:val="000000"/>
        </w:rPr>
        <w:t>è stato</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impiegato in lavorazioni di realizzazione di pareti in cartongesso, applicazione di intonaco e posa di rivestimenti a cappotto isolante. Riferisce una esposizione a sovraccarico biomeccanico del rachide e degli arti superiori, correlata alla movimentazione di lastre del peso di circa 14 kg e all’utilizzo di utensili vibranti (quali il tassellatore e l</w:t>
      </w:r>
      <w:r>
        <w:rPr>
          <w:rFonts w:eastAsia="Arial" w:cs="Arial" w:ascii="Arial" w:hAnsi="Arial"/>
          <w:color w:val="000000"/>
        </w:rPr>
        <w:t>’</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avvitatore). Svolgeva inoltre l</w:t>
      </w:r>
      <w:r>
        <w:rPr>
          <w:rFonts w:eastAsia="Arial" w:cs="Arial" w:ascii="Arial" w:hAnsi="Arial"/>
          <w:color w:val="000000"/>
        </w:rPr>
        <w:t>’</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attività di clettatura (stesura del gesso) e gessatura, mediante l’impiego di strumenti dedicati, con successiva applicazione manuale del materiale, utilizzando alternativamente entrambe le mani. In presenza di pareti di altezza ridotta, riferisce la necessità di assumere posture incongrue, in particolare la posizione inginocchiata, durante le fasi operative.</w:t>
      </w:r>
    </w:p>
    <w:p>
      <w:pPr>
        <w:pStyle w:val="Normal1"/>
        <w:keepNext w:val="false"/>
        <w:keepLines w:val="false"/>
        <w:pageBreakBefore w:val="false"/>
        <w:widowControl/>
        <w:pBdr/>
        <w:shd w:val="clear" w:fill="auto"/>
        <w:spacing w:lineRule="auto" w:line="360" w:before="0" w:after="140"/>
        <w:ind w:left="360" w:right="0" w:hanging="0"/>
        <w:jc w:val="both"/>
        <w:rPr>
          <w:rFonts w:ascii="Calibri" w:hAnsi="Calibri" w:eastAsia="Calibri" w:cs="Calibri"/>
          <w:b w:val="false"/>
          <w:b w:val="false"/>
          <w:bCs w:val="false"/>
          <w:i w:val="false"/>
          <w:i w:val="false"/>
          <w:iCs w:val="false"/>
          <w:caps w:val="false"/>
          <w:smallCaps w:val="false"/>
          <w:strike w:val="false"/>
          <w:dstrike w:val="false"/>
          <w:color w:val="00000A"/>
          <w:position w:val="0"/>
          <w:sz w:val="24"/>
          <w:sz w:val="24"/>
          <w:szCs w:val="24"/>
          <w:u w:val="none"/>
          <w:vertAlign w:val="baseline"/>
        </w:rPr>
      </w:pPr>
      <w:r>
        <w:rPr>
          <w:rFonts w:eastAsia="Arial" w:cs="Arial" w:ascii="Arial" w:hAnsi="Arial"/>
          <w:color w:val="000000"/>
        </w:rPr>
        <w:t xml:space="preserve">Ricorda di essere stato sottoposto a </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sorveglianza sanitaria solo presso l’Azienda S</w:t>
      </w:r>
      <w:r>
        <w:rPr>
          <w:rFonts w:eastAsia="Arial" w:cs="Arial" w:ascii="Arial" w:hAnsi="Arial"/>
          <w:color w:val="000000"/>
        </w:rPr>
        <w:t>.r.l.</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Semplif. Multiservice VNB per la quale ha </w:t>
      </w:r>
      <w:r>
        <w:rPr>
          <w:rFonts w:eastAsia="Arial" w:cs="Arial" w:ascii="Arial" w:hAnsi="Arial"/>
          <w:color w:val="000000"/>
        </w:rPr>
        <w:t>lavorato</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come cartongessista fino al 20/01/2024, ma indica l</w:t>
      </w:r>
      <w:r>
        <w:rPr>
          <w:rFonts w:eastAsia="Arial" w:cs="Arial" w:ascii="Arial" w:hAnsi="Arial"/>
          <w:color w:val="000000"/>
        </w:rPr>
        <w:t>’</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impossibilità di risalire all’esito delle suddette visite per questioni legali non meglio specificate.</w:t>
      </w:r>
    </w:p>
    <w:p>
      <w:pPr>
        <w:pStyle w:val="Normal1"/>
        <w:spacing w:lineRule="auto" w:line="360"/>
        <w:jc w:val="both"/>
        <w:rPr/>
      </w:pPr>
      <w:r>
        <w:rPr>
          <w:rFonts w:eastAsia="Arial" w:cs="Arial" w:ascii="Arial" w:hAnsi="Arial"/>
          <w:color w:val="000000"/>
        </w:rPr>
        <w:t>Ultimo giorno di lavoro: 1 gennaio 2025, da allora in disoccupazione.</w:t>
      </w:r>
    </w:p>
    <w:p>
      <w:pPr>
        <w:pStyle w:val="Titolo1"/>
        <w:spacing w:lineRule="auto" w:line="360"/>
        <w:jc w:val="both"/>
        <w:rPr>
          <w:color w:val="000000"/>
        </w:rPr>
      </w:pPr>
      <w:bookmarkStart w:id="2" w:name="_heading=h.1fob9te"/>
      <w:bookmarkEnd w:id="2"/>
      <w:r>
        <w:rPr>
          <w:rFonts w:eastAsia="Arial" w:cs="Arial" w:ascii="Arial" w:hAnsi="Arial"/>
          <w:b/>
          <w:bCs/>
          <w:color w:val="000000"/>
        </w:rPr>
        <w:t>ANAMNESI FAMILIARE</w:t>
      </w:r>
    </w:p>
    <w:p>
      <w:pPr>
        <w:pStyle w:val="Normal1"/>
        <w:spacing w:lineRule="auto" w:line="360"/>
        <w:jc w:val="both"/>
        <w:rPr/>
      </w:pPr>
      <w:r>
        <w:rPr>
          <w:rFonts w:eastAsia="Arial" w:cs="Arial" w:ascii="Arial" w:hAnsi="Arial"/>
          <w:color w:val="000000"/>
        </w:rPr>
        <w:t>Madre deceduta a 82 anni in complicanze di fratture vertebrali, precedentemente affetta da m. di Parkinson e k polmonare.</w:t>
      </w:r>
    </w:p>
    <w:p>
      <w:pPr>
        <w:pStyle w:val="Normal1"/>
        <w:spacing w:lineRule="auto" w:line="360"/>
        <w:jc w:val="both"/>
        <w:rPr/>
      </w:pPr>
      <w:r>
        <w:rPr>
          <w:rFonts w:eastAsia="Arial" w:cs="Arial" w:ascii="Arial" w:hAnsi="Arial"/>
          <w:color w:val="000000"/>
        </w:rPr>
        <w:t>Padre di deceduto a 73 anni, in complicanze di sclerosi multipla.</w:t>
      </w:r>
    </w:p>
    <w:p>
      <w:pPr>
        <w:pStyle w:val="Normal1"/>
        <w:spacing w:lineRule="auto" w:line="360"/>
        <w:jc w:val="both"/>
        <w:rPr/>
      </w:pPr>
      <w:r>
        <w:rPr>
          <w:rFonts w:eastAsia="Arial" w:cs="Arial" w:ascii="Arial" w:hAnsi="Arial"/>
          <w:color w:val="000000"/>
        </w:rPr>
        <w:t>Una sorella riferita affetta da patologie di natura osteoarticolare a carico di rachide (due ernie lombari) e spalle (eseguita acromionplastica in patologia non meglio definita).</w:t>
      </w:r>
    </w:p>
    <w:p>
      <w:pPr>
        <w:pStyle w:val="Titolo1"/>
        <w:spacing w:lineRule="auto" w:line="360"/>
        <w:jc w:val="both"/>
        <w:rPr>
          <w:color w:val="000000"/>
        </w:rPr>
      </w:pPr>
      <w:bookmarkStart w:id="3" w:name="_heading=h.3znysh7"/>
      <w:bookmarkEnd w:id="3"/>
      <w:r>
        <w:rPr>
          <w:rFonts w:eastAsia="Arial" w:cs="Arial" w:ascii="Arial" w:hAnsi="Arial"/>
          <w:b/>
          <w:bCs/>
          <w:color w:val="000000"/>
        </w:rPr>
        <w:t>ANAMNESI FISIOLOGICA</w:t>
      </w:r>
    </w:p>
    <w:p>
      <w:pPr>
        <w:pStyle w:val="Normal1"/>
        <w:spacing w:lineRule="auto" w:line="360"/>
        <w:jc w:val="both"/>
        <w:rPr/>
      </w:pPr>
      <w:r>
        <w:rPr>
          <w:rFonts w:eastAsia="Arial" w:cs="Arial" w:ascii="Arial" w:hAnsi="Arial"/>
          <w:color w:val="000000"/>
        </w:rPr>
        <w:t xml:space="preserve">Nato a termine da parto eutocico, regolare sviluppo psicofisico. </w:t>
      </w:r>
    </w:p>
    <w:p>
      <w:pPr>
        <w:pStyle w:val="Normal1"/>
        <w:spacing w:lineRule="auto" w:line="360"/>
        <w:jc w:val="both"/>
        <w:rPr/>
      </w:pPr>
      <w:r>
        <w:rPr>
          <w:rFonts w:eastAsia="Arial" w:cs="Arial" w:ascii="Arial" w:hAnsi="Arial"/>
          <w:color w:val="000000"/>
        </w:rPr>
        <w:t>Titolo di studio licenza media. Non ha svolto il servizio di leva, per assistenza al padre invalido. Padre di un figlio maschio riferito in salute.</w:t>
      </w:r>
    </w:p>
    <w:p>
      <w:pPr>
        <w:pStyle w:val="Normal1"/>
        <w:spacing w:lineRule="auto" w:line="360"/>
        <w:jc w:val="both"/>
        <w:rPr/>
      </w:pPr>
      <w:r>
        <w:rPr>
          <w:rFonts w:eastAsia="Arial" w:cs="Arial" w:ascii="Arial" w:hAnsi="Arial"/>
          <w:color w:val="000000"/>
        </w:rPr>
        <w:t>Dieta libera e varia, appetito e digestione regolari, alvo e diuresi nella norma, ritmo sonno-veglia conservato. Nega di svolgere attività fisica regolare. Fumatore per 20 anni di circa 8 sig/die, da pochi mesi ridotte a 3-5/die. Astemio. Riferisce allergie a pollini, epiteli di cane e gatto.</w:t>
      </w:r>
      <w:r>
        <w:rPr/>
        <w:t xml:space="preserve"> </w:t>
      </w:r>
      <w:r>
        <w:rPr>
          <w:rFonts w:eastAsia="Arial" w:cs="Arial" w:ascii="Arial" w:hAnsi="Arial"/>
          <w:color w:val="000000"/>
        </w:rPr>
        <w:t>Seguito dal CSM sant’Eufemia, per riferita sindrome depressiva maggiore non in terapia farmacologica.</w:t>
      </w:r>
    </w:p>
    <w:p>
      <w:pPr>
        <w:pStyle w:val="Titolo1"/>
        <w:spacing w:lineRule="auto" w:line="360"/>
        <w:jc w:val="both"/>
        <w:rPr>
          <w:color w:val="000000"/>
        </w:rPr>
      </w:pPr>
      <w:bookmarkStart w:id="4" w:name="_heading=h.2et92p0"/>
      <w:bookmarkEnd w:id="4"/>
      <w:r>
        <w:rPr>
          <w:rFonts w:eastAsia="Arial" w:cs="Arial" w:ascii="Arial" w:hAnsi="Arial"/>
          <w:b/>
          <w:bCs/>
          <w:color w:val="000000"/>
        </w:rPr>
        <w:t>ANAMNESI PATOLOGICA REMOTA</w:t>
      </w:r>
    </w:p>
    <w:p>
      <w:pPr>
        <w:pStyle w:val="Normal1"/>
        <w:spacing w:lineRule="auto" w:line="360"/>
        <w:jc w:val="both"/>
        <w:rPr/>
      </w:pPr>
      <w:r>
        <w:rPr>
          <w:rFonts w:eastAsia="Arial" w:cs="Arial" w:ascii="Arial" w:hAnsi="Arial"/>
          <w:color w:val="000000"/>
        </w:rPr>
        <w:t>Remota infezione da epatite A. Pregresso trauma toracico con fratture costali nel 2010.</w:t>
      </w:r>
    </w:p>
    <w:p>
      <w:pPr>
        <w:pStyle w:val="Normal1"/>
        <w:spacing w:lineRule="auto" w:line="360"/>
        <w:jc w:val="both"/>
        <w:rPr/>
      </w:pPr>
      <w:r>
        <w:rPr>
          <w:rFonts w:eastAsia="Arial" w:cs="Arial" w:ascii="Arial" w:hAnsi="Arial"/>
          <w:color w:val="000000"/>
        </w:rPr>
        <w:t>Infezione da SARS-CoV-2 a Marzo 2021 curata a domicilio. Intervento non meglio specificato a carico del femore destro nel 1995. Meniscectomia sinistra nel 2020. Nel 2022 colecistectomia per litiasi. Poliposi nasale nota. Ernioplastica inguinale destra nel 2012.</w:t>
      </w:r>
    </w:p>
    <w:p>
      <w:pPr>
        <w:pStyle w:val="Normal1"/>
        <w:spacing w:lineRule="auto" w:line="360"/>
        <w:jc w:val="both"/>
        <w:rPr/>
      </w:pPr>
      <w:r>
        <w:rPr>
          <w:rFonts w:eastAsia="Arial" w:cs="Arial" w:ascii="Arial" w:hAnsi="Arial"/>
          <w:color w:val="000000"/>
        </w:rPr>
        <w:t>Asma allergico dalla giovane età, per cui assume regolarmente Revinty 82/22 mcg e ha a disposizione Ventolin che assume a.b.</w:t>
      </w:r>
    </w:p>
    <w:p>
      <w:pPr>
        <w:pStyle w:val="Normal1"/>
        <w:spacing w:lineRule="auto" w:line="360"/>
        <w:jc w:val="both"/>
        <w:rPr/>
      </w:pPr>
      <w:r>
        <w:rPr>
          <w:rFonts w:eastAsia="Arial" w:cs="Arial" w:ascii="Arial" w:hAnsi="Arial"/>
          <w:color w:val="000000"/>
        </w:rPr>
        <w:t>Nel 2024 riscontro all’ECG di una alterazione della ripolarizzazione inferiore, con emiblocco di branca anteriore sx e ipertrofia ventricolare.</w:t>
      </w:r>
    </w:p>
    <w:p>
      <w:pPr>
        <w:pStyle w:val="Normal1"/>
        <w:spacing w:lineRule="auto" w:line="360"/>
        <w:jc w:val="both"/>
        <w:rPr/>
      </w:pPr>
      <w:bookmarkStart w:id="5" w:name="_heading=h.tyjcwt"/>
      <w:bookmarkEnd w:id="5"/>
      <w:r>
        <w:rPr>
          <w:rFonts w:eastAsia="Arial" w:cs="Arial" w:ascii="Arial" w:hAnsi="Arial"/>
          <w:color w:val="000000"/>
        </w:rPr>
        <w:t xml:space="preserve">Nel 2010 infortunio lavorativo cadendo da un'impalcatura. Nega invalidità riconosciute. </w:t>
      </w:r>
    </w:p>
    <w:p>
      <w:pPr>
        <w:pStyle w:val="Normal1"/>
        <w:spacing w:lineRule="auto" w:line="360"/>
        <w:jc w:val="both"/>
        <w:rPr>
          <w:rFonts w:ascii="Arial" w:hAnsi="Arial" w:eastAsia="Arial" w:cs="Arial"/>
          <w:color w:val="C9211E"/>
        </w:rPr>
      </w:pPr>
      <w:r>
        <w:rPr>
          <w:rFonts w:eastAsia="Arial" w:cs="Arial" w:ascii="Arial" w:hAnsi="Arial"/>
          <w:color w:val="C9211E"/>
        </w:rPr>
      </w:r>
    </w:p>
    <w:p>
      <w:pPr>
        <w:pStyle w:val="Normal1"/>
        <w:spacing w:lineRule="auto" w:line="360"/>
        <w:jc w:val="both"/>
        <w:rPr>
          <w:rFonts w:ascii="Arial" w:hAnsi="Arial" w:eastAsia="Arial" w:cs="Arial"/>
          <w:b/>
          <w:b/>
          <w:bCs/>
          <w:color w:val="000000"/>
        </w:rPr>
      </w:pPr>
      <w:r>
        <w:rPr>
          <w:rFonts w:eastAsia="Arial" w:cs="Arial" w:ascii="Arial" w:hAnsi="Arial"/>
          <w:b/>
          <w:bCs/>
          <w:color w:val="000000"/>
        </w:rPr>
        <w:t>ANAMNESI PATOLOGICA PROSSIMA</w:t>
      </w:r>
    </w:p>
    <w:p>
      <w:pPr>
        <w:pStyle w:val="Normal1"/>
        <w:spacing w:lineRule="auto" w:line="360"/>
        <w:jc w:val="both"/>
        <w:rPr>
          <w:rFonts w:ascii="Arial" w:hAnsi="Arial" w:eastAsia="Arial" w:cs="Arial"/>
          <w:color w:val="000000"/>
        </w:rPr>
      </w:pPr>
      <w:r>
        <w:rPr>
          <w:rFonts w:eastAsia="Arial" w:cs="Arial" w:ascii="Arial" w:hAnsi="Arial"/>
          <w:color w:val="000000"/>
        </w:rPr>
        <w:t xml:space="preserve">RACHIDE </w:t>
      </w:r>
    </w:p>
    <w:p>
      <w:pPr>
        <w:pStyle w:val="Normal1"/>
        <w:spacing w:lineRule="auto" w:line="360"/>
        <w:jc w:val="both"/>
        <w:rPr/>
      </w:pPr>
      <w:r>
        <w:rPr>
          <w:rFonts w:eastAsia="Arial" w:cs="Arial" w:ascii="Arial" w:hAnsi="Arial"/>
          <w:color w:val="000000"/>
        </w:rPr>
        <w:t>Riferisce l’insorgenza di lombalgia nel 2010 poi peggiorata nel tempo con l’esordio di sciatalgia da circa 10 anni. Per tale patologia ha eseguito i seguenti accertamenti:</w:t>
        <w:br/>
        <w:t>- 15/02/2025 RM rachide lombosacrale eseguito presso Centro Synlab Data Medica srl – Divisione Euganea Medica, che rileva in particolare una marcata disidratazione dei dischi intersomatici con retrolistesi L1 su L2; un bulging discale in L2-L3, L4-L5 e L5-S1. A quest’ultimo livello ipertrofia dei massicci articolari con modesta stenosi dei forami di coniugazione, più evidente a sinistra.</w:t>
        <w:br/>
        <w:t>- 12/08/2025 Visita internistica preso l’UOC di Medicina Generale del Presidio Ospedaliero di Cittadella (PD), che riporta: “...Riguardo il quesito clinico, la patologia artrosica risulta di competenza fisiatrica per eventuali indicazioni riabilitative e chirurgiche (ortopedica e/o chirurgica del rachide) per eventuali indicazioni a terapie specifiche, oltre che valutazione terapia antalgica per controllo del dolore…”.</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rFonts w:ascii="Arial" w:hAnsi="Arial" w:eastAsia="Arial" w:cs="Arial"/>
          <w:color w:val="000000"/>
        </w:rPr>
      </w:pPr>
      <w:r>
        <w:rPr>
          <w:rFonts w:eastAsia="Arial" w:cs="Arial" w:ascii="Arial" w:hAnsi="Arial"/>
          <w:color w:val="000000"/>
        </w:rPr>
        <w:t>ARTI SUPERIORI (GOMITI, SPALLE) E INFERIORI (GINOCCHIA)</w:t>
      </w:r>
    </w:p>
    <w:p>
      <w:pPr>
        <w:pStyle w:val="Normal1"/>
        <w:spacing w:lineRule="auto" w:line="360"/>
        <w:jc w:val="both"/>
        <w:rPr/>
      </w:pPr>
      <w:r>
        <w:rPr>
          <w:rFonts w:eastAsia="Arial" w:cs="Arial" w:ascii="Arial" w:hAnsi="Arial"/>
          <w:color w:val="000000"/>
        </w:rPr>
        <w:t>Lamenta dal 2015 algie ai gomiti bilateralmente, da circa 2-3, ingravescente nel tempo ed esacerbato dall’attività lavorativa. Riporta l’insorgenza di omalgia bilaterale circa 20 anni fa ingravescente nel tempo con conseguente limitazione dell’attività lavorativa in relazione alla sintomatologia dolorosa.</w:t>
      </w:r>
      <w:r>
        <w:rPr/>
        <w:t xml:space="preserve"> </w:t>
      </w:r>
      <w:r>
        <w:rPr>
          <w:rFonts w:eastAsia="Arial" w:cs="Arial" w:ascii="Arial" w:hAnsi="Arial"/>
          <w:color w:val="000000"/>
        </w:rPr>
        <w:t xml:space="preserve">Lamenta l’insorgenza dI gonalgia bilaterale da 7 mesi, in anamnesi intervento di meniscectomia laterale sx nel 2020 (di cui manca la documentazione clinica). </w:t>
      </w:r>
    </w:p>
    <w:p>
      <w:pPr>
        <w:pStyle w:val="Normal1"/>
        <w:spacing w:lineRule="auto" w:line="360"/>
        <w:jc w:val="both"/>
        <w:rPr/>
      </w:pPr>
      <w:r>
        <w:rPr>
          <w:rFonts w:eastAsia="Arial" w:cs="Arial" w:ascii="Arial" w:hAnsi="Arial"/>
          <w:color w:val="000000"/>
        </w:rPr>
        <w:t xml:space="preserve">Per tale condizioni, ha svolto i seguenti accertamenti: </w:t>
      </w:r>
    </w:p>
    <w:p>
      <w:pPr>
        <w:pStyle w:val="Normal1"/>
        <w:numPr>
          <w:ilvl w:val="0"/>
          <w:numId w:val="2"/>
        </w:numPr>
        <w:spacing w:lineRule="auto" w:line="360"/>
        <w:ind w:left="720" w:hanging="360"/>
        <w:jc w:val="both"/>
        <w:rPr/>
      </w:pPr>
      <w:r>
        <w:rPr>
          <w:rFonts w:eastAsia="Arial" w:cs="Arial" w:ascii="Arial" w:hAnsi="Arial"/>
          <w:color w:val="000000"/>
        </w:rPr>
        <w:t xml:space="preserve">2020 </w:t>
      </w:r>
      <w:r>
        <w:rPr>
          <w:rFonts w:eastAsia="Arial" w:cs="Arial" w:ascii="Arial" w:hAnsi="Arial"/>
          <w:color w:val="000000"/>
        </w:rPr>
        <w:t xml:space="preserve">riferito </w:t>
      </w:r>
      <w:r>
        <w:rPr>
          <w:rFonts w:eastAsia="Arial" w:cs="Arial" w:ascii="Arial" w:hAnsi="Arial"/>
          <w:color w:val="000000"/>
        </w:rPr>
        <w:t>intervento di meniscectomia al ginocchio sinistro (manca documentazione clinica);</w:t>
      </w:r>
    </w:p>
    <w:p>
      <w:pPr>
        <w:pStyle w:val="Normal1"/>
        <w:numPr>
          <w:ilvl w:val="0"/>
          <w:numId w:val="2"/>
        </w:numPr>
        <w:spacing w:lineRule="auto" w:line="360"/>
        <w:ind w:left="720" w:hanging="360"/>
        <w:jc w:val="both"/>
        <w:rPr>
          <w:rFonts w:ascii="Arial" w:hAnsi="Arial" w:eastAsia="Arial" w:cs="Arial"/>
          <w:color w:val="000000"/>
          <w:u w:val="none"/>
        </w:rPr>
      </w:pPr>
      <w:r>
        <w:rPr>
          <w:rFonts w:eastAsia="Arial" w:cs="Arial" w:ascii="Arial" w:hAnsi="Arial"/>
          <w:color w:val="000000"/>
        </w:rPr>
        <w:t>29/10/2025 RX spalla bilaterale, Rx gomito bilaterale, eseguiti presso il centro Alliance Medical di Padova, che evidenziano: “...Appuntimento entesopatico della glena al labbro inferiore bilateralmente… Irregolarità entesopatiche, anche con aspetti calcifici si rilevano a livello di epicondilo destro e epitroclea da entrambi i lati”.</w:t>
      </w:r>
    </w:p>
    <w:p>
      <w:pPr>
        <w:pStyle w:val="Normal1"/>
        <w:numPr>
          <w:ilvl w:val="0"/>
          <w:numId w:val="2"/>
        </w:numPr>
        <w:spacing w:lineRule="auto" w:line="360"/>
        <w:ind w:left="720" w:hanging="360"/>
        <w:jc w:val="both"/>
        <w:rPr>
          <w:rFonts w:ascii="Arial" w:hAnsi="Arial" w:eastAsia="Arial" w:cs="Arial"/>
          <w:color w:val="000000"/>
          <w:u w:val="none"/>
        </w:rPr>
      </w:pPr>
      <w:r>
        <w:rPr>
          <w:rFonts w:eastAsia="Arial" w:cs="Arial" w:ascii="Arial" w:hAnsi="Arial"/>
          <w:color w:val="000000"/>
        </w:rPr>
        <w:t>29/10/2025 RX ginocchio bilaterale sotto carico, eseguiti presso il centro Alliance Medical di Padova, che evidenzia: “...Accenno ad appuntimento entesopatico dell'apice rotuleo a destra. Lieve appuntimento entesopatico dei tubercoli tibiali anteriori. Spazio femoro-tibiale mediale meno ampio da entrambi i lati, con modesta sclerosi subcondrale dei piatti tibiali”.</w:t>
      </w:r>
    </w:p>
    <w:p>
      <w:pPr>
        <w:pStyle w:val="Normal1"/>
        <w:numPr>
          <w:ilvl w:val="0"/>
          <w:numId w:val="2"/>
        </w:numPr>
        <w:spacing w:lineRule="auto" w:line="360"/>
        <w:ind w:left="720" w:hanging="360"/>
        <w:jc w:val="both"/>
        <w:rPr>
          <w:rFonts w:ascii="Arial" w:hAnsi="Arial" w:eastAsia="Arial" w:cs="Arial"/>
          <w:color w:val="000000"/>
          <w:u w:val="none"/>
        </w:rPr>
      </w:pPr>
      <w:r>
        <w:rPr>
          <w:rFonts w:eastAsia="Arial" w:cs="Arial" w:ascii="Arial" w:hAnsi="Arial"/>
          <w:color w:val="000000"/>
        </w:rPr>
        <w:t>18/11/2025 Visita Ortopedica eseguita presso L’UOC ortopedia e traumatologia OSA dell’Azienda Ospedale – Università di Padova, che diagnostica: “...Meniscopatia mediale sinistra, tendinopatia della cuffia a destra e sinistra, epicondilite bilaterale”.</w:t>
      </w:r>
    </w:p>
    <w:p>
      <w:pPr>
        <w:pStyle w:val="Normal1"/>
        <w:numPr>
          <w:ilvl w:val="0"/>
          <w:numId w:val="2"/>
        </w:numPr>
        <w:spacing w:lineRule="auto" w:line="360"/>
        <w:ind w:left="720" w:hanging="360"/>
        <w:jc w:val="both"/>
        <w:rPr>
          <w:rFonts w:ascii="Arial" w:hAnsi="Arial" w:eastAsia="Arial" w:cs="Arial"/>
          <w:color w:val="000000"/>
          <w:u w:val="none"/>
        </w:rPr>
      </w:pPr>
      <w:r>
        <w:rPr>
          <w:rFonts w:eastAsia="Arial" w:cs="Arial" w:ascii="Arial" w:hAnsi="Arial"/>
          <w:color w:val="000000"/>
        </w:rPr>
        <w:t>10/11/2025 Ecografia Spalla bilaterale e Ginocchio sx, eseguita presso il centro Analisi Mediche Pavanello di Padova, che riportano in particolare alla spalla dx marcati segni di tendinosi del sovraspinato del sottoscapolare e del capolungo del bicipite e un ridotto spazio sottoacromiale per artrosi acromion-claveare ed esile versamento liquido della borsa sottodeltoidea. Alla spalla sx si riporta un quadro sovrapponibile a quello evidenziato a dx. Al ginocchio sx si evidenzia in particolare la presenza del menisco mediale lussato e della rottura del legamento collaterale laterale in presenza di un minimo versamento liquido della borsa sovrarotulea.</w:t>
      </w:r>
    </w:p>
    <w:p>
      <w:pPr>
        <w:pStyle w:val="Normal1"/>
        <w:numPr>
          <w:ilvl w:val="0"/>
          <w:numId w:val="2"/>
        </w:numPr>
        <w:spacing w:lineRule="auto" w:line="360"/>
        <w:ind w:left="720" w:hanging="360"/>
        <w:jc w:val="both"/>
        <w:rPr>
          <w:rFonts w:ascii="Arial" w:hAnsi="Arial" w:eastAsia="Arial" w:cs="Arial"/>
          <w:color w:val="000000"/>
          <w:u w:val="none"/>
        </w:rPr>
      </w:pPr>
      <w:r>
        <w:rPr>
          <w:rFonts w:eastAsia="Arial" w:cs="Arial" w:ascii="Arial" w:hAnsi="Arial"/>
          <w:color w:val="000000"/>
        </w:rPr>
        <w:t xml:space="preserve">Programmata l’esecuzione di una RM del ginocchio sx in data 19/02/2026. </w:t>
      </w:r>
    </w:p>
    <w:p>
      <w:pPr>
        <w:pStyle w:val="Normal1"/>
        <w:spacing w:lineRule="auto" w:line="360"/>
        <w:ind w:left="0" w:hanging="0"/>
        <w:jc w:val="both"/>
        <w:rPr>
          <w:rFonts w:ascii="Arial" w:hAnsi="Arial" w:eastAsia="Arial" w:cs="Arial"/>
          <w:color w:val="000000"/>
          <w:highlight w:val="yellow"/>
        </w:rPr>
      </w:pPr>
      <w:r>
        <w:rPr>
          <w:rFonts w:eastAsia="Arial" w:cs="Arial" w:ascii="Arial" w:hAnsi="Arial"/>
          <w:color w:val="000000"/>
          <w:highlight w:val="yellow"/>
        </w:rPr>
      </w:r>
    </w:p>
    <w:p>
      <w:pPr>
        <w:pStyle w:val="Normal1"/>
        <w:spacing w:lineRule="auto" w:line="360"/>
        <w:jc w:val="both"/>
        <w:rPr>
          <w:rFonts w:ascii="Arial" w:hAnsi="Arial" w:eastAsia="Arial" w:cs="Arial"/>
          <w:color w:val="000000"/>
        </w:rPr>
      </w:pPr>
      <w:r>
        <w:rPr>
          <w:rFonts w:eastAsia="Arial" w:cs="Arial" w:ascii="Arial" w:hAnsi="Arial"/>
          <w:color w:val="000000"/>
        </w:rPr>
        <w:t>APPARATO RESPIRATORIO</w:t>
      </w:r>
    </w:p>
    <w:p>
      <w:pPr>
        <w:pStyle w:val="Normal1"/>
        <w:spacing w:lineRule="auto" w:line="360"/>
        <w:jc w:val="both"/>
        <w:rPr>
          <w:rFonts w:ascii="Arial" w:hAnsi="Arial" w:eastAsia="Arial" w:cs="Arial"/>
          <w:color w:val="000000"/>
        </w:rPr>
      </w:pPr>
      <w:r>
        <w:rPr>
          <w:rFonts w:eastAsia="Arial" w:cs="Arial" w:ascii="Arial" w:hAnsi="Arial"/>
          <w:color w:val="000000"/>
        </w:rPr>
        <w:t>Ricorda la presenza di sintomi di asma bronchiale già in fase adolescenziale, con successive occasionali riacutizzazioni per cui attualmente risulta in follow up specialistico e in terapia farmacologica. In relazione alla storia lavorativa il paziente non sa riferire in maniera precisa una relazione con una specifica esposizione, anche forse in relazione alla frammentazione dei periodi di lavoro e delle attività svolte, e quindi alla mutevolezza del quadro espositivo. Per quanto riguarda l’attività svolta con le farine, non riporta un peggioramento della sintomatologia respiratoria in relazione a questa esposizione. Per tale patologia ha eseguito i seguenti accertamenti:</w:t>
      </w:r>
    </w:p>
    <w:p>
      <w:pPr>
        <w:pStyle w:val="Normal1"/>
        <w:numPr>
          <w:ilvl w:val="0"/>
          <w:numId w:val="4"/>
        </w:numPr>
        <w:spacing w:lineRule="auto" w:line="360"/>
        <w:ind w:left="720" w:hanging="360"/>
        <w:jc w:val="both"/>
        <w:rPr>
          <w:rFonts w:ascii="Arial" w:hAnsi="Arial" w:eastAsia="Arial" w:cs="Arial"/>
          <w:color w:val="000000"/>
          <w:u w:val="none"/>
        </w:rPr>
      </w:pPr>
      <w:r>
        <w:rPr>
          <w:rFonts w:eastAsia="Arial" w:cs="Arial" w:ascii="Arial" w:hAnsi="Arial"/>
          <w:color w:val="000000"/>
        </w:rPr>
        <w:t>31/12/2010 TAC torace con mezzo di contrasto, eseguita presso il reparto di Radiologia 1 dell’Azienda Ospedaliera di Padova (AOUP), che riporta: “A livello del passaggio osteocondale, versante osseo, della 6° costa di destra riconoscibile ispessimento corticale tipo callo osseo. In piani analoghi a livello della 5° costa di destra focale incisura corticale compatibile anch'essa con esito post-traumatico. Esiti fratturativi sono evidenti anche alle coste 9°, 10° e 11°di sinistra lungo la linea ascellare posteriore. Numerosi appuntimenti osteofitosici somatomarginali anteriori più marcati al III medio del rachide toracico. Alcune sottili strie dense a livello del parenchima polmonare del lobo medio e a livello del lobo inferiore di sinistra, in prima ipotesi di natura post-traumatica. Non significative nodulazioni parenchimali polmonari nè linfoadenomegalie mediastiniche…”.</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02/02/2012 Visita Pneumologica presso l’ambulatorio di Fisiopatologia Respiratoria dell’Azienda Ospedaliera di Padova, che concludeva con “Asma bronchiale non controllato”. Esame spirometrico contestuale che evidenzia un quadro funzionale respiratorio nei limiti di norma.</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 xml:space="preserve"> </w:t>
      </w:r>
      <w:r>
        <w:rPr>
          <w:rFonts w:eastAsia="Arial" w:cs="Arial" w:ascii="Arial" w:hAnsi="Arial"/>
          <w:color w:val="000000"/>
        </w:rPr>
        <w:t>02/2024 riscontro incidentale di poliposi nasale, di cui manca documentazione.</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14/02/2012 HRTC torace presso il reparto di Radiologia 1 dell’Azienda Ospedaliera di Padova, esame che evidenzia in particolare un lieve ispessimento delle pareti bronchiali e bronchiolari e concomitanti fratture costali riferite al recente incidente.</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12/09/2024 TC Torace eseguita presso UOC Radiologia dell’Ospedale di Piove di Sacco, che riporta: “...Sfumato ispessimento nodulariforme mantellare di 4 mm nel segmento apicale del lobo superiore destro, in adiacenza a tenui strie da ispessimento settale. Due micronoduli aspecifici di 4 mm nel segmento latero basale del lobo polmonare inferiore destro, di cui uno subpleurico. Altro nodo subpleurico di 5 mm è evidente tra i segmenti posteriore e laterale del lobo polmonare inferiore di sinistra. Nella medesima sede in piani più caudali si apprezza una strie fibrotica raccorda ad ispessimento pleurico, circondati da focale area a vetro smerigliato…”.</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13/11/2024 RM massiccio facciale eseguito presso il Policlinico di Abano Terme (PD), che riporta: “...Ispessimento mucoso millimetrico a livello dei seni frontali..., Nel seno sfenoidale sinistro è presente immagine disomogeneamente iperintensa T2 con diametri assiali di otto per 6 mm che non sembra dimostrare enhancement post contrasto riferibile a probabile ristagno di  muco..., ispessimento mucoso significativo, con valore massimo trasversale di circa 1 cm, a livello cornetto inferiore di destra...”.</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25/02/2025 TC Torace eseguita presso Centro Affidea di Padova, che riporta: “Non sostanziali modificazioni dei reperti rispetto il precedente esame TC”;</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17/03/2025 visita Pneumologica eseguita presso l’Ambulatorio di Pneumologia del C.S.S. Colli di Padova che concludeva: "...Asma bronchiale controllato da un punto di vista clinico funzionale, in terapia di fondo con ICS/LABA in tabagista attivo. Alla Tc torace micronoduli (il maggiore di 5 mm) e stria fibrotica raccorda ad ispessimento pleurico al LIS, stabili rispetto al controllo precedente, per cui si prosegue follow up”.</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08/04/2025 Visita ORL eseguita presso l’Ambulatorio di Rinologia Avanzata dell’Azienda Ospedaliera di Padova, che riporta: “Conclusione: CRSwNP in buon controllo sintomatologico con terapia nasale. Tuttavia ACT 11”.</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16/09/2025 TC Torace eseguita presso Centro Affidea di Padova, che riporta: “Non sostanziali modificazioni dei reperti rispetto il precedente esame TC”.</w:t>
      </w:r>
    </w:p>
    <w:p>
      <w:pPr>
        <w:pStyle w:val="Normal1"/>
        <w:numPr>
          <w:ilvl w:val="0"/>
          <w:numId w:val="1"/>
        </w:numPr>
        <w:spacing w:lineRule="auto" w:line="360"/>
        <w:ind w:left="720" w:hanging="360"/>
        <w:jc w:val="both"/>
        <w:rPr>
          <w:rFonts w:ascii="Arial" w:hAnsi="Arial" w:eastAsia="Arial" w:cs="Arial"/>
          <w:color w:val="000000"/>
          <w:u w:val="none"/>
        </w:rPr>
      </w:pPr>
      <w:r>
        <w:rPr>
          <w:rFonts w:eastAsia="Arial" w:cs="Arial" w:ascii="Arial" w:hAnsi="Arial"/>
          <w:color w:val="000000"/>
        </w:rPr>
        <w:t>25/09/2025 visita Pneumologica eseguita presso l’ambulatorio di Fisiopatologia Respiratoria dell’Azienda Ospedaliera di Padova che conclude: “...Asma bronchiale controllato. Micronoduli stabili al controllo febbraio-settembre 2025 e in base al referto di settembre 2024 appaiono stabili.”</w:t>
      </w:r>
    </w:p>
    <w:p>
      <w:pPr>
        <w:pStyle w:val="Titolo1"/>
        <w:spacing w:lineRule="auto" w:line="360"/>
        <w:jc w:val="both"/>
        <w:rPr>
          <w:color w:val="000000"/>
        </w:rPr>
      </w:pPr>
      <w:bookmarkStart w:id="6" w:name="_heading=h.3dy6vkm"/>
      <w:bookmarkEnd w:id="6"/>
      <w:r>
        <w:rPr>
          <w:rFonts w:eastAsia="Arial" w:cs="Arial" w:ascii="Arial" w:hAnsi="Arial"/>
          <w:b/>
          <w:bCs/>
          <w:color w:val="000000"/>
        </w:rPr>
        <w:t>ESAME OBIETTIVO</w:t>
      </w:r>
    </w:p>
    <w:p>
      <w:pPr>
        <w:pStyle w:val="Normal1"/>
        <w:spacing w:lineRule="auto" w:line="360"/>
        <w:jc w:val="both"/>
        <w:rPr/>
      </w:pPr>
      <w:r>
        <w:rPr>
          <w:rFonts w:eastAsia="Arial" w:cs="Arial" w:ascii="Arial" w:hAnsi="Arial"/>
          <w:color w:val="000000"/>
        </w:rPr>
        <w:t>Condizioni generali buone.</w:t>
      </w:r>
      <w:r>
        <w:rPr>
          <w:color w:val="000000"/>
        </w:rPr>
        <w:t xml:space="preserve"> </w:t>
      </w:r>
      <w:r>
        <w:rPr>
          <w:rFonts w:eastAsia="Arial" w:cs="Arial" w:ascii="Arial" w:hAnsi="Arial"/>
          <w:color w:val="000000"/>
        </w:rPr>
        <w:t>Altezza 175 cm; peso 75 kg; BMI 23,7 kg/m</w:t>
      </w:r>
      <w:r>
        <w:rPr>
          <w:rFonts w:eastAsia="Arial" w:cs="Arial" w:ascii="Arial" w:hAnsi="Arial"/>
          <w:color w:val="000000"/>
          <w:vertAlign w:val="superscript"/>
        </w:rPr>
        <w:t>2</w:t>
      </w:r>
      <w:r>
        <w:rPr>
          <w:rFonts w:eastAsia="Arial" w:cs="Arial" w:ascii="Arial" w:hAnsi="Arial"/>
          <w:color w:val="000000"/>
        </w:rPr>
        <w:t>.</w:t>
      </w:r>
    </w:p>
    <w:p>
      <w:pPr>
        <w:pStyle w:val="Normal1"/>
        <w:spacing w:lineRule="auto" w:line="360"/>
        <w:jc w:val="both"/>
        <w:rPr>
          <w:color w:val="000000"/>
        </w:rPr>
      </w:pPr>
      <w:r>
        <w:rPr>
          <w:rFonts w:eastAsia="Arial" w:cs="Arial" w:ascii="Arial" w:hAnsi="Arial"/>
          <w:color w:val="000000"/>
        </w:rPr>
        <w:t xml:space="preserve">Torace: paziente eupnoico in AA, simmetrico, FVT normotrasmesso su TAP, basi mobili e simmetriche. MV presente e normoudibile su TAP, non rumori patologici. </w:t>
      </w:r>
    </w:p>
    <w:p>
      <w:pPr>
        <w:pStyle w:val="Normal1"/>
        <w:spacing w:lineRule="auto" w:line="360"/>
        <w:jc w:val="both"/>
        <w:rPr/>
      </w:pPr>
      <w:r>
        <w:rPr>
          <w:rFonts w:eastAsia="Arial" w:cs="Arial" w:ascii="Arial" w:hAnsi="Arial"/>
          <w:color w:val="000000"/>
        </w:rPr>
        <w:t>Cuore: toni validi, ritmici, pause apparentemente libere. PAO 150/100 mmHg; FC 68 bpm.</w:t>
      </w:r>
    </w:p>
    <w:p>
      <w:pPr>
        <w:pStyle w:val="Normal1"/>
        <w:spacing w:lineRule="auto" w:line="360"/>
        <w:jc w:val="both"/>
        <w:rPr/>
      </w:pPr>
      <w:r>
        <w:rPr>
          <w:rFonts w:eastAsia="Arial" w:cs="Arial" w:ascii="Arial" w:hAnsi="Arial"/>
          <w:color w:val="000000"/>
        </w:rPr>
        <w:t>Addome: piano, non dolente alla palpazione superficiale e profonda; non organomegalie apprezzabili. Peristalsi presente e valida.</w:t>
      </w:r>
    </w:p>
    <w:p>
      <w:pPr>
        <w:pStyle w:val="Normal1"/>
        <w:spacing w:lineRule="auto" w:line="360"/>
        <w:jc w:val="both"/>
        <w:rPr/>
      </w:pPr>
      <w:r>
        <w:rPr>
          <w:rFonts w:eastAsia="Arial" w:cs="Arial" w:ascii="Arial" w:hAnsi="Arial"/>
          <w:color w:val="000000"/>
        </w:rPr>
        <w:t xml:space="preserve">Rachide: regolari curve fisiologiche. Pressopalpazione delle apofisi spinose e della muscolatura paravertebrale non dolente. Possibile la marcia punte-talloni, ritmo lombo-pelvico conservato. Non dolenzie alla rotazione laterale. Segno di Lasegue positivo a sx a 60°, negativo a destra. </w:t>
      </w:r>
    </w:p>
    <w:p>
      <w:pPr>
        <w:pStyle w:val="Normal1"/>
        <w:spacing w:lineRule="auto" w:line="360"/>
        <w:jc w:val="both"/>
        <w:rPr/>
      </w:pPr>
      <w:r>
        <w:rPr>
          <w:rFonts w:eastAsia="Arial" w:cs="Arial" w:ascii="Arial" w:hAnsi="Arial"/>
          <w:color w:val="000000"/>
        </w:rPr>
        <w:t>Spalle: Jobe test e Yocum test, Palm up positivi prevalentemente a dx, non limitazioni del ROM.</w:t>
      </w:r>
    </w:p>
    <w:p>
      <w:pPr>
        <w:pStyle w:val="Normal1"/>
        <w:spacing w:lineRule="auto" w:line="360"/>
        <w:jc w:val="both"/>
        <w:rPr/>
      </w:pPr>
      <w:r>
        <w:rPr>
          <w:rFonts w:eastAsia="Arial" w:cs="Arial" w:ascii="Arial" w:hAnsi="Arial"/>
          <w:color w:val="000000"/>
        </w:rPr>
        <w:t>Gomito: dolore alla pressopalpazione degli epicondili dx e sx, non limitazioni del ROM.</w:t>
      </w:r>
    </w:p>
    <w:p>
      <w:pPr>
        <w:pStyle w:val="Normal1"/>
        <w:spacing w:lineRule="auto" w:line="360"/>
        <w:jc w:val="both"/>
        <w:rPr/>
      </w:pPr>
      <w:r>
        <w:rPr>
          <w:rFonts w:eastAsia="Arial" w:cs="Arial" w:ascii="Arial" w:hAnsi="Arial"/>
          <w:color w:val="000000"/>
        </w:rPr>
        <w:t xml:space="preserve">Ginocchio: presenza di callosità, più evidenti a destra. Assenti edema e dolore alla pressopalpazione. Genuflessione completa possibile. </w:t>
      </w:r>
    </w:p>
    <w:p>
      <w:pPr>
        <w:pStyle w:val="Titolo1"/>
        <w:spacing w:lineRule="auto" w:line="360"/>
        <w:jc w:val="both"/>
        <w:rPr/>
      </w:pPr>
      <w:bookmarkStart w:id="7" w:name="_heading=h.1t3h5sf"/>
      <w:bookmarkEnd w:id="7"/>
      <w:r>
        <w:rPr>
          <w:rFonts w:eastAsia="Arial" w:cs="Arial" w:ascii="Arial" w:hAnsi="Arial"/>
          <w:b/>
          <w:bCs/>
          <w:color w:val="000000"/>
        </w:rPr>
        <w:t>CONCLUSIONI</w:t>
      </w:r>
    </w:p>
    <w:p>
      <w:pPr>
        <w:pStyle w:val="Normal1"/>
        <w:spacing w:lineRule="auto" w:line="360"/>
        <w:jc w:val="both"/>
        <w:rPr/>
      </w:pPr>
      <w:r>
        <w:rPr>
          <w:rFonts w:eastAsia="Arial" w:cs="Arial" w:ascii="Arial" w:hAnsi="Arial"/>
          <w:color w:val="000000"/>
        </w:rPr>
        <w:t>Il Signor Martucci Antonio, di anni 59, ha lavorato complessivamente per circa 21 anni nel settore edile con mansione prevalente di cartongessista e come pizzaiolo, quest’ultima prevalentemente nel primo periodo lavorativo e a chiamata negli ultimi 10 anni. Nel corso dell’attività lavorativa è stato verosimilmente esposto a sovraccarico biomeccanico del rachide e degli arti superiori dovuti alla movimentazione manuale dei carichi, alle vibrazioni trasmesse a corpo interno, all’assunzione di posture incongrue e all’utilizzo di utensili vibranti. È stato anche esposto a polveri (cemento e cartongesso nel settore edilizio e farina in quello alimentare).</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r>
        <w:rPr>
          <w:rFonts w:eastAsia="Arial" w:cs="Arial" w:ascii="Arial" w:hAnsi="Arial"/>
          <w:color w:val="000000"/>
        </w:rPr>
        <w:t xml:space="preserve">Concludiamo pertanto con le seguenti diagnosi: </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r>
        <w:rPr>
          <w:rFonts w:eastAsia="Arial" w:cs="Arial" w:ascii="Arial" w:hAnsi="Arial"/>
          <w:color w:val="000000"/>
        </w:rPr>
        <w:t>“</w:t>
      </w:r>
      <w:r>
        <w:rPr>
          <w:rFonts w:eastAsia="Arial" w:cs="Arial" w:ascii="Arial" w:hAnsi="Arial"/>
          <w:color w:val="000000"/>
        </w:rPr>
        <w:t xml:space="preserve">Bulging discale in L2-L3, L4-L5 e L5-S1, sindrome della cuffia dei rotatori bilaterale, epicondilite bilaterale e meniscopatia mediale </w:t>
      </w:r>
      <w:r>
        <w:rPr>
          <w:rFonts w:eastAsia="Arial" w:cs="Arial" w:ascii="Arial" w:hAnsi="Arial"/>
          <w:color w:val="000000"/>
        </w:rPr>
        <w:t>sinistra</w:t>
      </w:r>
      <w:r>
        <w:rPr>
          <w:rFonts w:eastAsia="Arial" w:cs="Arial" w:ascii="Arial" w:hAnsi="Arial"/>
          <w:color w:val="000000"/>
        </w:rPr>
        <w:t>, compatibili con l’origine professionale. Asma allergico a pollini, esacerbata dall’esposizione professionale e dall’abitudine tabagica”.</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rFonts w:ascii="Arial" w:hAnsi="Arial" w:eastAsia="Arial" w:cs="Arial"/>
          <w:color w:val="000000"/>
        </w:rPr>
      </w:pPr>
      <w:r>
        <w:rPr>
          <w:rFonts w:eastAsia="Arial" w:cs="Arial" w:ascii="Arial" w:hAnsi="Arial"/>
          <w:color w:val="000000"/>
        </w:rPr>
        <w:t>Per tali patologie abbiamo compilato il Primo Certificato di Malattia professionale, che consegniamo al paziente.</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rFonts w:ascii="Arial" w:hAnsi="Arial" w:eastAsia="Arial" w:cs="Arial"/>
          <w:color w:val="000000"/>
        </w:rPr>
      </w:pPr>
      <w:r>
        <w:rPr>
          <w:rFonts w:eastAsia="Arial" w:cs="Arial" w:ascii="Arial" w:hAnsi="Arial"/>
          <w:color w:val="000000"/>
        </w:rPr>
        <w:t>Si raccomanda l’astensione dall’esposizione ad agenti irritanti e sensibilizzanti e l’utilizzo appropriato dei dispositivi di protezione individuale in ambito lavorativo, la prosecuzione del follow-up pneumologico e della terapia farmacologica in atto nonché il monitoraggio radiologico dei micronoduli polmonari aspecifici e l’abolizione dell’abitudine tabagica.</w:t>
      </w:r>
    </w:p>
    <w:p>
      <w:pPr>
        <w:pStyle w:val="Normal1"/>
        <w:spacing w:lineRule="auto" w:line="360"/>
        <w:jc w:val="both"/>
        <w:rPr/>
      </w:pPr>
      <w:r>
        <w:rPr>
          <w:rFonts w:eastAsia="Arial" w:cs="Arial" w:ascii="Arial" w:hAnsi="Arial"/>
          <w:color w:val="000000"/>
        </w:rPr>
        <w:br/>
        <w:t xml:space="preserve">Nel rimanere a disposizione per ogni chiarimento in merito, inviamo cordiali saluti. </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rFonts w:ascii="Arial" w:hAnsi="Arial" w:eastAsia="Arial" w:cs="Arial"/>
          <w:color w:val="000000"/>
        </w:rPr>
      </w:pPr>
      <w:r>
        <w:rPr>
          <w:rFonts w:eastAsia="Arial" w:cs="Arial" w:ascii="Arial" w:hAnsi="Arial"/>
          <w:color w:val="000000"/>
        </w:rPr>
        <w:t>Il Medico in Formazione Specialistica, Dr. Federico Favaro</w:t>
      </w:r>
    </w:p>
    <w:p>
      <w:pPr>
        <w:pStyle w:val="Normal1"/>
        <w:spacing w:lineRule="auto" w:line="360"/>
        <w:jc w:val="both"/>
        <w:rPr>
          <w:rFonts w:ascii="Arial" w:hAnsi="Arial" w:eastAsia="Arial" w:cs="Arial"/>
          <w:color w:val="000000"/>
        </w:rPr>
      </w:pPr>
      <w:r>
        <w:rPr>
          <w:rFonts w:eastAsia="Arial" w:cs="Arial" w:ascii="Arial" w:hAnsi="Arial"/>
          <w:color w:val="000000"/>
        </w:rPr>
        <w:t>Il Medico in Formazione Specialistica, Dr. Pietro Bertagnin</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bookmarkStart w:id="8" w:name="_heading=h.gjdgxs"/>
      <w:bookmarkEnd w:id="8"/>
      <w:r>
        <w:rPr>
          <w:rFonts w:eastAsia="Arial" w:cs="Arial" w:ascii="Arial" w:hAnsi="Arial"/>
          <w:color w:val="000000"/>
        </w:rPr>
        <w:t>Il Dirigente Medico dell’Ambulatorio di Medicina del Lavoro, Dr. Filippo Liviero</w:t>
      </w:r>
    </w:p>
    <w:sectPr>
      <w:headerReference w:type="default" r:id="rId2"/>
      <w:headerReference w:type="first" r:id="rId3"/>
      <w:footerReference w:type="default" r:id="rId4"/>
      <w:footerReference w:type="first" r:id="rId5"/>
      <w:type w:val="nextPage"/>
      <w:pgSz w:w="11906" w:h="16838"/>
      <w:pgMar w:left="1134" w:right="1134" w:header="850" w:top="2127" w:footer="567" w:bottom="624"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embedRegular r:id="rId14" w:fontKey="{0E014A78-CABC-4EF0-12AC-5CD89AEFDE0E}"/>
  </w:font>
  <w:font w:name="Liberation Sans">
    <w:altName w:val="Arial"/>
    <w:charset w:val="00"/>
    <w:family w:val="roman"/>
    <w:pitch w:val="variable"/>
  </w:font>
  <w:font w:name="Georgia">
    <w:charset w:val="00"/>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Wingdings">
    <w:charset w:val="02"/>
    <w:family w:val="auto"/>
    <w:pitch w:val="default"/>
    <w:embedRegular r:id="rId19" w:fontKey="{13014A78-CABC-4EF0-12AC-5CD89AEFDE13}"/>
  </w:font>
  <w:font w:name="Wingdings 2">
    <w:charset w:val="02"/>
    <w:family w:val="auto"/>
    <w:pitch w:val="default"/>
  </w:font>
  <w:font w:name="OpenSymbol">
    <w:altName w:val="Arial Unicode MS"/>
    <w:charset w:val="01"/>
    <w:family w:val="auto"/>
    <w:pitch w:val="default"/>
    <w:embedRegular r:id="rId20" w:fontKey="{14014A78-CABC-4EF0-12AC-5CD89AEFDE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sz w:val="4"/>
        <w:szCs w:val="4"/>
      </w:rPr>
    </w:pPr>
    <w:r>
      <w:rPr>
        <w:sz w:val="4"/>
        <w:szCs w:val="4"/>
      </w:rPr>
    </w:r>
  </w:p>
  <w:tbl>
    <w:tblPr>
      <w:tblStyle w:val="Table1"/>
      <w:tblW w:w="10208" w:type="dxa"/>
      <w:jc w:val="left"/>
      <w:tblInd w:w="-260" w:type="dxa"/>
      <w:tblCellMar>
        <w:top w:w="0" w:type="dxa"/>
        <w:left w:w="108" w:type="dxa"/>
        <w:bottom w:w="0" w:type="dxa"/>
        <w:right w:w="108" w:type="dxa"/>
      </w:tblCellMar>
      <w:tblLook w:val="0000"/>
    </w:tblPr>
    <w:tblGrid>
      <w:gridCol w:w="3118"/>
      <w:gridCol w:w="4961"/>
      <w:gridCol w:w="2129"/>
    </w:tblGrid>
    <w:tr>
      <w:trPr>
        <w:trHeight w:val="23" w:hRule="atLeast"/>
      </w:trPr>
      <w:tc>
        <w:tcPr>
          <w:tcW w:w="3118" w:type="dxa"/>
          <w:tcBorders>
            <w:top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r>
      <w:trPr>
        <w:trHeight w:val="23" w:hRule="atLeast"/>
      </w:trPr>
      <w:tc>
        <w:tcPr>
          <w:tcW w:w="3118" w:type="dxa"/>
          <w:tcBorders/>
          <w:shd w:fill="auto" w:val="clear"/>
        </w:tcPr>
        <w:p>
          <w:pPr>
            <w:pStyle w:val="Normal1"/>
            <w:spacing w:lineRule="auto" w:line="276"/>
            <w:rPr/>
          </w:pPr>
          <w:r>
            <w:rPr>
              <w:rFonts w:eastAsia="Arial" w:cs="Arial" w:ascii="Arial" w:hAnsi="Arial"/>
              <w:b/>
              <w:bCs/>
              <w:color w:val="C00000"/>
              <w:sz w:val="16"/>
              <w:szCs w:val="16"/>
            </w:rPr>
            <w:t>Azienda Ospedale-Università Padova:</w:t>
          </w:r>
        </w:p>
      </w:tc>
      <w:tc>
        <w:tcPr>
          <w:tcW w:w="4961" w:type="dxa"/>
          <w:tcBorders>
            <w:left w:val="single" w:sz="4" w:space="0" w:color="A6A6A6"/>
          </w:tcBorders>
          <w:shd w:fill="auto" w:val="clear"/>
        </w:tcPr>
        <w:p>
          <w:pPr>
            <w:pStyle w:val="Normal1"/>
            <w:spacing w:lineRule="auto" w:line="276"/>
            <w:ind w:left="178" w:right="171" w:hanging="0"/>
            <w:rPr>
              <w:rFonts w:ascii="Arial" w:hAnsi="Arial" w:eastAsia="Arial" w:cs="Arial"/>
              <w:b/>
              <w:b/>
              <w:bCs/>
              <w:color w:val="C00000"/>
              <w:sz w:val="16"/>
              <w:szCs w:val="16"/>
            </w:rPr>
          </w:pPr>
          <w:r>
            <w:rPr>
              <w:rFonts w:eastAsia="Arial" w:cs="Arial" w:ascii="Arial" w:hAnsi="Arial"/>
              <w:b/>
              <w:bCs/>
              <w:color w:val="C00000"/>
              <w:sz w:val="16"/>
              <w:szCs w:val="16"/>
            </w:rPr>
          </w:r>
        </w:p>
      </w:tc>
      <w:tc>
        <w:tcPr>
          <w:tcW w:w="2129" w:type="dxa"/>
          <w:tcBorders>
            <w:left w:val="single" w:sz="4" w:space="0" w:color="A6A6A6"/>
          </w:tcBorders>
          <w:shd w:fill="auto" w:val="clear"/>
        </w:tcPr>
        <w:p>
          <w:pPr>
            <w:pStyle w:val="Normal1"/>
            <w:spacing w:lineRule="auto" w:line="276"/>
            <w:ind w:left="174" w:hanging="0"/>
            <w:rPr/>
          </w:pPr>
          <w:r>
            <w:rPr>
              <w:rFonts w:eastAsia="Arial" w:cs="Arial" w:ascii="Arial" w:hAnsi="Arial"/>
              <w:b/>
              <w:bCs/>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bottom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bottom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bl>
  <w:p>
    <w:pPr>
      <w:pStyle w:val="Normal1"/>
      <w:rPr>
        <w:sz w:val="4"/>
        <w:szCs w:val="4"/>
      </w:rPr>
    </w:pPr>
    <w:r>
      <w:rPr>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widowControl w:val="false"/>
      <w:spacing w:lineRule="auto" w:line="276"/>
      <w:rPr/>
    </w:pPr>
    <w:r>
      <w:rPr/>
    </w:r>
  </w:p>
  <w:tbl>
    <w:tblPr>
      <w:tblStyle w:val="Table2"/>
      <w:tblW w:w="10208" w:type="dxa"/>
      <w:jc w:val="left"/>
      <w:tblInd w:w="-250" w:type="dxa"/>
      <w:tblCellMar>
        <w:top w:w="0" w:type="dxa"/>
        <w:left w:w="108" w:type="dxa"/>
        <w:bottom w:w="0" w:type="dxa"/>
        <w:right w:w="108" w:type="dxa"/>
      </w:tblCellMar>
      <w:tblLook w:val="0000"/>
    </w:tblPr>
    <w:tblGrid>
      <w:gridCol w:w="3118"/>
      <w:gridCol w:w="4961"/>
      <w:gridCol w:w="2129"/>
    </w:tblGrid>
    <w:tr>
      <w:trPr>
        <w:trHeight w:val="23" w:hRule="atLeast"/>
      </w:trPr>
      <w:tc>
        <w:tcPr>
          <w:tcW w:w="3118" w:type="dxa"/>
          <w:tcBorders>
            <w:top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r>
      <w:trPr>
        <w:trHeight w:val="23" w:hRule="atLeast"/>
      </w:trPr>
      <w:tc>
        <w:tcPr>
          <w:tcW w:w="3118" w:type="dxa"/>
          <w:tcBorders/>
          <w:shd w:fill="auto" w:val="clear"/>
        </w:tcPr>
        <w:p>
          <w:pPr>
            <w:pStyle w:val="Normal1"/>
            <w:spacing w:lineRule="auto" w:line="276"/>
            <w:rPr/>
          </w:pPr>
          <w:r>
            <w:rPr>
              <w:rFonts w:eastAsia="Arial" w:cs="Arial" w:ascii="Arial" w:hAnsi="Arial"/>
              <w:b/>
              <w:bCs/>
              <w:color w:val="C00000"/>
              <w:sz w:val="16"/>
              <w:szCs w:val="16"/>
            </w:rPr>
            <w:t>Azienda Ospedale-Università Padova:</w:t>
          </w:r>
        </w:p>
        <w:p>
          <w:pPr>
            <w:pStyle w:val="Normal1"/>
            <w:spacing w:lineRule="auto" w:line="276"/>
            <w:rPr/>
          </w:pPr>
          <w:r>
            <w:rPr>
              <w:rFonts w:eastAsia="Arial" w:cs="Arial" w:ascii="Arial" w:hAnsi="Arial"/>
              <w:color w:val="767171"/>
              <w:sz w:val="16"/>
              <w:szCs w:val="16"/>
            </w:rPr>
            <w:t>via Giustiniani, 2 - 35128 PADOVA</w:t>
          </w:r>
        </w:p>
        <w:p>
          <w:pPr>
            <w:pStyle w:val="Normal1"/>
            <w:spacing w:lineRule="auto" w:line="276"/>
            <w:rPr/>
          </w:pPr>
          <w:r>
            <w:rPr>
              <w:rFonts w:eastAsia="Arial" w:cs="Arial" w:ascii="Arial" w:hAnsi="Arial"/>
              <w:b/>
              <w:bCs/>
              <w:color w:val="767171"/>
              <w:sz w:val="16"/>
              <w:szCs w:val="16"/>
            </w:rPr>
            <w:t>T</w:t>
          </w:r>
          <w:r>
            <w:rPr>
              <w:rFonts w:eastAsia="Arial" w:cs="Arial" w:ascii="Arial" w:hAnsi="Arial"/>
              <w:color w:val="767171"/>
              <w:sz w:val="16"/>
              <w:szCs w:val="16"/>
            </w:rPr>
            <w:t>.+ 39 049 8211111</w:t>
          </w:r>
        </w:p>
        <w:p>
          <w:pPr>
            <w:pStyle w:val="Normal1"/>
            <w:spacing w:lineRule="auto" w:line="276"/>
            <w:rPr/>
          </w:pPr>
          <w:r>
            <w:rPr>
              <w:rFonts w:eastAsia="Arial" w:cs="Arial" w:ascii="Arial" w:hAnsi="Arial"/>
              <w:color w:val="767171"/>
              <w:sz w:val="16"/>
              <w:szCs w:val="16"/>
            </w:rPr>
            <w:t>P.E.C.:protocollo.aopd@pecveneto.it</w:t>
          </w:r>
        </w:p>
        <w:p>
          <w:pPr>
            <w:pStyle w:val="Normal1"/>
            <w:spacing w:lineRule="auto" w:line="276"/>
            <w:rPr/>
          </w:pPr>
          <w:r>
            <w:rPr>
              <w:rFonts w:eastAsia="Arial" w:cs="Arial" w:ascii="Arial" w:hAnsi="Arial"/>
              <w:color w:val="767171"/>
              <w:sz w:val="16"/>
              <w:szCs w:val="16"/>
            </w:rPr>
            <w:t>Cod.Fisc./P.IVA 00349040287</w:t>
          </w:r>
        </w:p>
        <w:p>
          <w:pPr>
            <w:pStyle w:val="Normal1"/>
            <w:spacing w:lineRule="auto" w:line="276"/>
            <w:rPr>
              <w:rFonts w:ascii="Arial" w:hAnsi="Arial" w:eastAsia="Arial" w:cs="Arial"/>
              <w:color w:val="767171"/>
              <w:sz w:val="16"/>
              <w:szCs w:val="16"/>
            </w:rPr>
          </w:pPr>
          <w:r>
            <w:rPr>
              <w:rFonts w:eastAsia="Arial" w:cs="Arial" w:ascii="Arial" w:hAnsi="Arial"/>
              <w:color w:val="767171"/>
              <w:sz w:val="16"/>
              <w:szCs w:val="16"/>
            </w:rPr>
          </w:r>
        </w:p>
      </w:tc>
      <w:tc>
        <w:tcPr>
          <w:tcW w:w="4961" w:type="dxa"/>
          <w:tcBorders>
            <w:left w:val="single" w:sz="4" w:space="0" w:color="A6A6A6"/>
          </w:tcBorders>
          <w:shd w:fill="auto" w:val="clear"/>
        </w:tcPr>
        <w:p>
          <w:pPr>
            <w:pStyle w:val="Normal1"/>
            <w:spacing w:lineRule="auto" w:line="276"/>
            <w:ind w:left="178" w:right="171" w:hanging="0"/>
            <w:rPr/>
          </w:pPr>
          <w:r>
            <w:rPr>
              <w:rFonts w:eastAsia="Arial" w:cs="Arial" w:ascii="Arial" w:hAnsi="Arial"/>
              <w:b/>
              <w:bCs/>
              <w:color w:val="767171"/>
              <w:sz w:val="16"/>
              <w:szCs w:val="16"/>
            </w:rPr>
            <w:t>DIDAS SERVIZI DI DIAGNOSTICA INTEGRATA</w:t>
          </w:r>
        </w:p>
        <w:p>
          <w:pPr>
            <w:pStyle w:val="Normal1"/>
            <w:spacing w:lineRule="auto" w:line="276"/>
            <w:ind w:left="178" w:right="171" w:hanging="0"/>
            <w:rPr/>
          </w:pPr>
          <w:r>
            <w:rPr>
              <w:rFonts w:eastAsia="Arial" w:cs="Arial" w:ascii="Arial" w:hAnsi="Arial"/>
              <w:b/>
              <w:bCs/>
              <w:color w:val="767171"/>
              <w:sz w:val="16"/>
              <w:szCs w:val="16"/>
            </w:rPr>
            <w:t>UOC MEDICINA DEL LAVORO</w:t>
          </w:r>
        </w:p>
        <w:p>
          <w:pPr>
            <w:pStyle w:val="Normal1"/>
            <w:spacing w:lineRule="auto" w:line="276"/>
            <w:ind w:left="178" w:right="171" w:hanging="0"/>
            <w:rPr/>
          </w:pPr>
          <w:r>
            <w:rPr>
              <w:rFonts w:eastAsia="Arial" w:cs="Arial" w:ascii="Arial" w:hAnsi="Arial"/>
              <w:i/>
              <w:iCs/>
              <w:color w:val="767171"/>
              <w:sz w:val="16"/>
              <w:szCs w:val="16"/>
            </w:rPr>
            <w:t>Direttore: Prof.ssa Maria Luisa Scapellato</w:t>
          </w:r>
        </w:p>
        <w:p>
          <w:pPr>
            <w:pStyle w:val="Normal1"/>
            <w:spacing w:lineRule="auto" w:line="276"/>
            <w:ind w:left="178" w:right="171" w:hanging="0"/>
            <w:rPr/>
          </w:pPr>
          <w:r>
            <w:rPr>
              <w:rFonts w:eastAsia="Arial" w:cs="Arial" w:ascii="Arial" w:hAnsi="Arial"/>
              <w:b/>
              <w:bCs/>
              <w:color w:val="767171"/>
              <w:sz w:val="16"/>
              <w:szCs w:val="16"/>
            </w:rPr>
            <w:t>T</w:t>
          </w:r>
          <w:r>
            <w:rPr>
              <w:rFonts w:eastAsia="Arial" w:cs="Arial" w:ascii="Arial" w:hAnsi="Arial"/>
              <w:color w:val="767171"/>
              <w:sz w:val="16"/>
              <w:szCs w:val="16"/>
            </w:rPr>
            <w:t>. +39 049 821 2572</w:t>
          </w:r>
        </w:p>
        <w:p>
          <w:pPr>
            <w:pStyle w:val="Normal1"/>
            <w:spacing w:lineRule="auto" w:line="276"/>
            <w:ind w:left="178" w:right="171" w:hanging="0"/>
            <w:rPr/>
          </w:pPr>
          <w:r>
            <w:rPr>
              <w:rFonts w:eastAsia="Arial" w:cs="Arial" w:ascii="Arial" w:hAnsi="Arial"/>
              <w:color w:val="767171"/>
              <w:sz w:val="16"/>
              <w:szCs w:val="16"/>
            </w:rPr>
            <w:t xml:space="preserve">e-mail </w:t>
          </w:r>
          <w:hyperlink r:id="rId1">
            <w:r>
              <w:rPr>
                <w:rStyle w:val="ListLabel211"/>
                <w:rFonts w:eastAsia="Arial" w:cs="Arial" w:ascii="Arial" w:hAnsi="Arial"/>
                <w:color w:val="0563C1"/>
                <w:sz w:val="16"/>
                <w:szCs w:val="16"/>
                <w:u w:val="single"/>
              </w:rPr>
              <w:t>med.lavoro@aopd.veneto.it</w:t>
            </w:r>
          </w:hyperlink>
          <w:r>
            <w:rPr>
              <w:rFonts w:eastAsia="Arial" w:cs="Arial" w:ascii="Arial" w:hAnsi="Arial"/>
              <w:color w:val="767171"/>
              <w:sz w:val="16"/>
              <w:szCs w:val="16"/>
            </w:rPr>
            <w:t xml:space="preserve"> </w:t>
          </w:r>
        </w:p>
      </w:tc>
      <w:tc>
        <w:tcPr>
          <w:tcW w:w="2129" w:type="dxa"/>
          <w:tcBorders>
            <w:left w:val="single" w:sz="4" w:space="0" w:color="A6A6A6"/>
          </w:tcBorders>
          <w:shd w:fill="auto" w:val="clear"/>
        </w:tcPr>
        <w:p>
          <w:pPr>
            <w:pStyle w:val="Normal1"/>
            <w:spacing w:lineRule="auto" w:line="276"/>
            <w:ind w:left="174" w:hanging="0"/>
            <w:rPr/>
          </w:pPr>
          <w:r>
            <w:rPr>
              <w:rFonts w:eastAsia="Arial" w:cs="Arial" w:ascii="Arial" w:hAnsi="Arial"/>
              <w:b/>
              <w:bCs/>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bottom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bottom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bl>
  <w:p>
    <w:pPr>
      <w:pStyle w:val="Normal1"/>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lvl w:ilvl="0">
      <w:start w:val="1"/>
      <w:numFmt w:val="bullet"/>
      <w:lvlText w:val="-"/>
      <w:lvlJc w:val="left"/>
      <w:pPr>
        <w:ind w:left="720" w:hanging="360"/>
      </w:pPr>
      <w:rPr>
        <w:rFonts w:ascii="OpenSymbol" w:hAnsi="OpenSymbol" w:cs="Open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OpenSymbol" w:hAnsi="OpenSymbol" w:cs="Open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OpenSymbol" w:hAnsi="OpenSymbol" w:cs="Open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 w:val="24"/>
        <w:szCs w:val="24"/>
        <w:lang w:val="it" w:eastAsia="zh-CN" w:bidi="hi-IN"/>
      </w:rPr>
    </w:rPrDefault>
    <w:pPrDefault>
      <w:pPr/>
    </w:pPrDefault>
  </w:docDefaults>
  <w:style w:type="paragraph" w:styleId="Normal">
    <w:name w:val="Normal"/>
    <w:qFormat/>
    <w:pPr>
      <w:widowControl/>
      <w:bidi w:val="0"/>
      <w:jc w:val="left"/>
    </w:pPr>
    <w:rPr>
      <w:rFonts w:ascii="Calibri" w:hAnsi="Calibri" w:eastAsia="Calibri" w:cs="Calibri"/>
      <w:color w:val="00000A"/>
      <w:kern w:val="0"/>
      <w:sz w:val="24"/>
      <w:szCs w:val="24"/>
      <w:lang w:val="it" w:eastAsia="zh-CN" w:bidi="hi-IN"/>
    </w:rPr>
  </w:style>
  <w:style w:type="paragraph" w:styleId="Titolo1">
    <w:name w:val="Heading 1"/>
    <w:basedOn w:val="Normal1"/>
    <w:next w:val="Normal1"/>
    <w:qFormat/>
    <w:pPr>
      <w:keepNext w:val="true"/>
      <w:keepLines/>
      <w:widowControl w:val="false"/>
      <w:spacing w:lineRule="auto" w:line="240" w:before="400" w:after="120"/>
    </w:pPr>
    <w:rPr>
      <w:rFonts w:ascii="Times New Roman" w:hAnsi="Times New Roman" w:eastAsia="Times New Roman" w:cs="Times New Roman"/>
      <w:sz w:val="26"/>
      <w:szCs w:val="26"/>
    </w:rPr>
  </w:style>
  <w:style w:type="paragraph" w:styleId="Titolo2">
    <w:name w:val="Heading 2"/>
    <w:basedOn w:val="Normal1"/>
    <w:next w:val="Normal1"/>
    <w:qFormat/>
    <w:pPr>
      <w:keepNext w:val="true"/>
      <w:keepLines/>
      <w:widowControl w:val="false"/>
      <w:spacing w:lineRule="auto" w:line="240" w:before="360" w:after="80"/>
    </w:pPr>
    <w:rPr>
      <w:b/>
      <w:bCs/>
      <w:sz w:val="36"/>
      <w:szCs w:val="36"/>
    </w:rPr>
  </w:style>
  <w:style w:type="paragraph" w:styleId="Titolo3">
    <w:name w:val="Heading 3"/>
    <w:basedOn w:val="Normal1"/>
    <w:next w:val="Normal1"/>
    <w:qFormat/>
    <w:pPr>
      <w:keepNext w:val="true"/>
      <w:keepLines/>
      <w:widowControl w:val="false"/>
      <w:spacing w:lineRule="auto" w:line="240" w:before="280" w:after="80"/>
    </w:pPr>
    <w:rPr>
      <w:b/>
      <w:bCs/>
      <w:sz w:val="28"/>
      <w:szCs w:val="28"/>
    </w:rPr>
  </w:style>
  <w:style w:type="paragraph" w:styleId="Titolo4">
    <w:name w:val="Heading 4"/>
    <w:basedOn w:val="Normal1"/>
    <w:next w:val="Normal1"/>
    <w:qFormat/>
    <w:pPr>
      <w:keepNext w:val="true"/>
      <w:keepLines/>
      <w:widowControl w:val="false"/>
      <w:spacing w:lineRule="auto" w:line="240" w:before="240" w:after="40"/>
    </w:pPr>
    <w:rPr>
      <w:b/>
      <w:bCs/>
    </w:rPr>
  </w:style>
  <w:style w:type="paragraph" w:styleId="Titolo5">
    <w:name w:val="Heading 5"/>
    <w:basedOn w:val="Normal1"/>
    <w:next w:val="Normal1"/>
    <w:qFormat/>
    <w:pPr>
      <w:keepNext w:val="true"/>
      <w:keepLines/>
      <w:widowControl w:val="false"/>
      <w:spacing w:lineRule="auto" w:line="240" w:before="220" w:after="40"/>
    </w:pPr>
    <w:rPr>
      <w:b/>
      <w:bCs/>
      <w:sz w:val="22"/>
      <w:szCs w:val="22"/>
    </w:rPr>
  </w:style>
  <w:style w:type="paragraph" w:styleId="Titolo6">
    <w:name w:val="Heading 6"/>
    <w:basedOn w:val="Normal1"/>
    <w:next w:val="Normal1"/>
    <w:qFormat/>
    <w:pPr>
      <w:keepNext w:val="true"/>
      <w:keepLines/>
      <w:widowControl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rPr>
      <w:color w:val="0563C1"/>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Internetlink" w:customStyle="1">
    <w:name w:val="Internet link"/>
    <w:qFormat/>
    <w:rPr>
      <w:color w:val="000080"/>
      <w:u w:val="single"/>
    </w:rPr>
  </w:style>
  <w:style w:type="character" w:styleId="ListLabel1" w:customStyle="1">
    <w:name w:val="ListLabel 1"/>
    <w:qFormat/>
    <w:rPr>
      <w:rFonts w:ascii="Arial" w:hAnsi="Arial" w:cs="Arial"/>
      <w:bCs/>
      <w:sz w:val="16"/>
      <w:szCs w:val="16"/>
    </w:rPr>
  </w:style>
  <w:style w:type="character" w:styleId="ListLabel2" w:customStyle="1">
    <w:name w:val="ListLabel 2"/>
    <w:qFormat/>
    <w:rPr>
      <w:rFonts w:ascii="Arial" w:hAnsi="Arial" w:cs="Arial"/>
      <w:bCs/>
      <w:sz w:val="16"/>
      <w:szCs w:val="16"/>
    </w:rPr>
  </w:style>
  <w:style w:type="character" w:styleId="ListLabel3" w:customStyle="1">
    <w:name w:val="ListLabel 3"/>
    <w:qFormat/>
    <w:rPr>
      <w:rFonts w:ascii="Arial" w:hAnsi="Arial" w:cs="Arial"/>
      <w:bCs/>
      <w:sz w:val="16"/>
      <w:szCs w:val="16"/>
    </w:rPr>
  </w:style>
  <w:style w:type="character" w:styleId="ListLabel4" w:customStyle="1">
    <w:name w:val="ListLabel 4"/>
    <w:qFormat/>
    <w:rPr>
      <w:rFonts w:ascii="Arial" w:hAnsi="Arial" w:cs="Arial"/>
      <w:bCs/>
      <w:sz w:val="16"/>
      <w:szCs w:val="16"/>
    </w:rPr>
  </w:style>
  <w:style w:type="character" w:styleId="ListLabel5" w:customStyle="1">
    <w:name w:val="ListLabel 5"/>
    <w:qFormat/>
    <w:rPr>
      <w:rFonts w:ascii="Arial" w:hAnsi="Arial" w:cs="Arial"/>
      <w:bCs/>
      <w:sz w:val="16"/>
      <w:szCs w:val="16"/>
    </w:rPr>
  </w:style>
  <w:style w:type="character" w:styleId="ListLabel6" w:customStyle="1">
    <w:name w:val="ListLabel 6"/>
    <w:qFormat/>
    <w:rPr>
      <w:rFonts w:ascii="Arial" w:hAnsi="Arial" w:cs="Arial"/>
      <w:bCs/>
      <w:sz w:val="16"/>
      <w:szCs w:val="16"/>
    </w:rPr>
  </w:style>
  <w:style w:type="character" w:styleId="ListLabel7" w:customStyle="1">
    <w:name w:val="ListLabel 7"/>
    <w:qFormat/>
    <w:rPr>
      <w:rFonts w:ascii="Arial" w:hAnsi="Arial" w:cs="Arial"/>
      <w:bCs/>
      <w:sz w:val="16"/>
      <w:szCs w:val="16"/>
    </w:rPr>
  </w:style>
  <w:style w:type="character" w:styleId="ListLabel8" w:customStyle="1">
    <w:name w:val="ListLabel 8"/>
    <w:qFormat/>
    <w:rPr>
      <w:rFonts w:ascii="Arial" w:hAnsi="Arial" w:cs="Arial"/>
      <w:bCs/>
      <w:sz w:val="16"/>
      <w:szCs w:val="16"/>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ascii="Arial" w:hAnsi="Arial" w:cs="Arial"/>
      <w:bCs/>
      <w:sz w:val="16"/>
      <w:szCs w:val="16"/>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ListLabel28" w:customStyle="1">
    <w:name w:val="ListLabel 28"/>
    <w:qFormat/>
    <w:rPr>
      <w:rFonts w:ascii="Arial" w:hAnsi="Arial" w:eastAsia="Noto Sans Symbols" w:cs="Noto Sans Symbols"/>
    </w:rPr>
  </w:style>
  <w:style w:type="character" w:styleId="ListLabel29" w:customStyle="1">
    <w:name w:val="ListLabel 29"/>
    <w:qFormat/>
    <w:rPr>
      <w:rFonts w:eastAsia="Noto Sans Symbols" w:cs="Noto Sans Symbols"/>
    </w:rPr>
  </w:style>
  <w:style w:type="character" w:styleId="ListLabel30" w:customStyle="1">
    <w:name w:val="ListLabel 30"/>
    <w:qFormat/>
    <w:rPr>
      <w:rFonts w:eastAsia="Noto Sans Symbols" w:cs="Noto Sans Symbols"/>
    </w:rPr>
  </w:style>
  <w:style w:type="character" w:styleId="ListLabel31" w:customStyle="1">
    <w:name w:val="ListLabel 31"/>
    <w:qFormat/>
    <w:rPr>
      <w:rFonts w:eastAsia="Noto Sans Symbols" w:cs="Noto Sans Symbols"/>
    </w:rPr>
  </w:style>
  <w:style w:type="character" w:styleId="ListLabel32" w:customStyle="1">
    <w:name w:val="ListLabel 32"/>
    <w:qFormat/>
    <w:rPr>
      <w:rFonts w:eastAsia="Noto Sans Symbols" w:cs="Noto Sans Symbols"/>
    </w:rPr>
  </w:style>
  <w:style w:type="character" w:styleId="ListLabel33" w:customStyle="1">
    <w:name w:val="ListLabel 33"/>
    <w:qFormat/>
    <w:rPr>
      <w:rFonts w:eastAsia="Noto Sans Symbols" w:cs="Noto Sans Symbols"/>
    </w:rPr>
  </w:style>
  <w:style w:type="character" w:styleId="ListLabel34" w:customStyle="1">
    <w:name w:val="ListLabel 34"/>
    <w:qFormat/>
    <w:rPr>
      <w:rFonts w:eastAsia="Noto Sans Symbols" w:cs="Noto Sans Symbols"/>
    </w:rPr>
  </w:style>
  <w:style w:type="character" w:styleId="ListLabel35" w:customStyle="1">
    <w:name w:val="ListLabel 35"/>
    <w:qFormat/>
    <w:rPr>
      <w:rFonts w:eastAsia="Noto Sans Symbols" w:cs="Noto Sans Symbols"/>
    </w:rPr>
  </w:style>
  <w:style w:type="character" w:styleId="ListLabel36" w:customStyle="1">
    <w:name w:val="ListLabel 36"/>
    <w:qFormat/>
    <w:rPr>
      <w:rFonts w:eastAsia="Noto Sans Symbols" w:cs="Noto Sans Symbols"/>
    </w:rPr>
  </w:style>
  <w:style w:type="character" w:styleId="ListLabel37" w:customStyle="1">
    <w:name w:val="ListLabel 37"/>
    <w:qFormat/>
    <w:rPr>
      <w:rFonts w:ascii="Arial" w:hAnsi="Arial" w:eastAsia="Noto Sans Symbols" w:cs="Noto Sans Symbols"/>
    </w:rPr>
  </w:style>
  <w:style w:type="character" w:styleId="ListLabel38" w:customStyle="1">
    <w:name w:val="ListLabel 38"/>
    <w:qFormat/>
    <w:rPr>
      <w:rFonts w:eastAsia="Noto Sans Symbols" w:cs="Noto Sans Symbols"/>
    </w:rPr>
  </w:style>
  <w:style w:type="character" w:styleId="ListLabel39" w:customStyle="1">
    <w:name w:val="ListLabel 39"/>
    <w:qFormat/>
    <w:rPr>
      <w:rFonts w:eastAsia="Noto Sans Symbols" w:cs="Noto Sans Symbols"/>
    </w:rPr>
  </w:style>
  <w:style w:type="character" w:styleId="ListLabel40" w:customStyle="1">
    <w:name w:val="ListLabel 40"/>
    <w:qFormat/>
    <w:rPr>
      <w:rFonts w:eastAsia="Noto Sans Symbols" w:cs="Noto Sans Symbols"/>
    </w:rPr>
  </w:style>
  <w:style w:type="character" w:styleId="ListLabel41" w:customStyle="1">
    <w:name w:val="ListLabel 41"/>
    <w:qFormat/>
    <w:rPr>
      <w:rFonts w:eastAsia="Noto Sans Symbols" w:cs="Noto Sans Symbols"/>
    </w:rPr>
  </w:style>
  <w:style w:type="character" w:styleId="ListLabel42" w:customStyle="1">
    <w:name w:val="ListLabel 42"/>
    <w:qFormat/>
    <w:rPr>
      <w:rFonts w:eastAsia="Noto Sans Symbols" w:cs="Noto Sans Symbols"/>
    </w:rPr>
  </w:style>
  <w:style w:type="character" w:styleId="ListLabel43" w:customStyle="1">
    <w:name w:val="ListLabel 43"/>
    <w:qFormat/>
    <w:rPr>
      <w:rFonts w:eastAsia="Noto Sans Symbols" w:cs="Noto Sans Symbols"/>
    </w:rPr>
  </w:style>
  <w:style w:type="character" w:styleId="ListLabel44" w:customStyle="1">
    <w:name w:val="ListLabel 44"/>
    <w:qFormat/>
    <w:rPr>
      <w:rFonts w:eastAsia="Noto Sans Symbols" w:cs="Noto Sans Symbols"/>
    </w:rPr>
  </w:style>
  <w:style w:type="character" w:styleId="ListLabel45" w:customStyle="1">
    <w:name w:val="ListLabel 45"/>
    <w:qFormat/>
    <w:rPr>
      <w:rFonts w:eastAsia="Noto Sans Symbols" w:cs="Noto Sans Symbols"/>
    </w:rPr>
  </w:style>
  <w:style w:type="character" w:styleId="ListLabel46" w:customStyle="1">
    <w:name w:val="ListLabel 46"/>
    <w:qFormat/>
    <w:rPr>
      <w:rFonts w:ascii="Arial" w:hAnsi="Arial" w:eastAsia="Arial" w:cs="Arial"/>
      <w:color w:val="0563C1"/>
      <w:sz w:val="16"/>
      <w:szCs w:val="16"/>
      <w:u w:val="single"/>
    </w:rPr>
  </w:style>
  <w:style w:type="character" w:styleId="ListLabel47" w:customStyle="1">
    <w:name w:val="ListLabel 47"/>
    <w:qFormat/>
    <w:rPr>
      <w:rFonts w:ascii="Arial" w:hAnsi="Arial" w:cs="Noto Sans Symbols"/>
    </w:rPr>
  </w:style>
  <w:style w:type="character" w:styleId="ListLabel48" w:customStyle="1">
    <w:name w:val="ListLabel 48"/>
    <w:qFormat/>
    <w:rPr>
      <w:rFonts w:cs="Noto Sans Symbols"/>
    </w:rPr>
  </w:style>
  <w:style w:type="character" w:styleId="ListLabel49" w:customStyle="1">
    <w:name w:val="ListLabel 49"/>
    <w:qFormat/>
    <w:rPr>
      <w:rFonts w:cs="Noto Sans Symbols"/>
    </w:rPr>
  </w:style>
  <w:style w:type="character" w:styleId="ListLabel50" w:customStyle="1">
    <w:name w:val="ListLabel 50"/>
    <w:qFormat/>
    <w:rPr>
      <w:rFonts w:cs="Noto Sans Symbols"/>
    </w:rPr>
  </w:style>
  <w:style w:type="character" w:styleId="ListLabel51" w:customStyle="1">
    <w:name w:val="ListLabel 51"/>
    <w:qFormat/>
    <w:rPr>
      <w:rFonts w:cs="Noto Sans Symbols"/>
    </w:rPr>
  </w:style>
  <w:style w:type="character" w:styleId="ListLabel52" w:customStyle="1">
    <w:name w:val="ListLabel 52"/>
    <w:qFormat/>
    <w:rPr>
      <w:rFonts w:cs="Noto Sans Symbols"/>
    </w:rPr>
  </w:style>
  <w:style w:type="character" w:styleId="ListLabel53" w:customStyle="1">
    <w:name w:val="ListLabel 53"/>
    <w:qFormat/>
    <w:rPr>
      <w:rFonts w:cs="Noto Sans Symbols"/>
    </w:rPr>
  </w:style>
  <w:style w:type="character" w:styleId="ListLabel54" w:customStyle="1">
    <w:name w:val="ListLabel 54"/>
    <w:qFormat/>
    <w:rPr>
      <w:rFonts w:cs="Noto Sans Symbols"/>
    </w:rPr>
  </w:style>
  <w:style w:type="character" w:styleId="ListLabel55" w:customStyle="1">
    <w:name w:val="ListLabel 55"/>
    <w:qFormat/>
    <w:rPr>
      <w:rFonts w:cs="Noto Sans Symbols"/>
    </w:rPr>
  </w:style>
  <w:style w:type="character" w:styleId="ListLabel56" w:customStyle="1">
    <w:name w:val="ListLabel 56"/>
    <w:qFormat/>
    <w:rPr>
      <w:rFonts w:ascii="Arial" w:hAnsi="Arial" w:cs="Noto Sans Symbols"/>
    </w:rPr>
  </w:style>
  <w:style w:type="character" w:styleId="ListLabel57" w:customStyle="1">
    <w:name w:val="ListLabel 57"/>
    <w:qFormat/>
    <w:rPr>
      <w:rFonts w:cs="Noto Sans Symbols"/>
    </w:rPr>
  </w:style>
  <w:style w:type="character" w:styleId="ListLabel58" w:customStyle="1">
    <w:name w:val="ListLabel 58"/>
    <w:qFormat/>
    <w:rPr>
      <w:rFonts w:cs="Noto Sans Symbols"/>
    </w:rPr>
  </w:style>
  <w:style w:type="character" w:styleId="ListLabel59" w:customStyle="1">
    <w:name w:val="ListLabel 59"/>
    <w:qFormat/>
    <w:rPr>
      <w:rFonts w:cs="Noto Sans Symbols"/>
    </w:rPr>
  </w:style>
  <w:style w:type="character" w:styleId="ListLabel60" w:customStyle="1">
    <w:name w:val="ListLabel 60"/>
    <w:qFormat/>
    <w:rPr>
      <w:rFonts w:cs="Noto Sans Symbols"/>
    </w:rPr>
  </w:style>
  <w:style w:type="character" w:styleId="ListLabel61" w:customStyle="1">
    <w:name w:val="ListLabel 61"/>
    <w:qFormat/>
    <w:rPr>
      <w:rFonts w:cs="Noto Sans Symbols"/>
    </w:rPr>
  </w:style>
  <w:style w:type="character" w:styleId="ListLabel62" w:customStyle="1">
    <w:name w:val="ListLabel 62"/>
    <w:qFormat/>
    <w:rPr>
      <w:rFonts w:cs="Noto Sans Symbols"/>
    </w:rPr>
  </w:style>
  <w:style w:type="character" w:styleId="ListLabel63" w:customStyle="1">
    <w:name w:val="ListLabel 63"/>
    <w:qFormat/>
    <w:rPr>
      <w:rFonts w:cs="Noto Sans Symbols"/>
    </w:rPr>
  </w:style>
  <w:style w:type="character" w:styleId="ListLabel64" w:customStyle="1">
    <w:name w:val="ListLabel 64"/>
    <w:qFormat/>
    <w:rPr>
      <w:rFonts w:cs="Noto Sans Symbols"/>
    </w:rPr>
  </w:style>
  <w:style w:type="character" w:styleId="ListLabel65" w:customStyle="1">
    <w:name w:val="ListLabel 65"/>
    <w:qFormat/>
    <w:rPr>
      <w:rFonts w:ascii="Arial" w:hAnsi="Arial" w:eastAsia="Arial" w:cs="Arial"/>
      <w:color w:val="0563C1"/>
      <w:sz w:val="16"/>
      <w:szCs w:val="16"/>
      <w:u w:val="single"/>
    </w:rPr>
  </w:style>
  <w:style w:type="character" w:styleId="ListLabel66" w:customStyle="1">
    <w:name w:val="ListLabel 66"/>
    <w:qFormat/>
    <w:rPr>
      <w:rFonts w:ascii="Arial" w:hAnsi="Arial" w:cs="Noto Sans Symbols"/>
    </w:rPr>
  </w:style>
  <w:style w:type="character" w:styleId="ListLabel67" w:customStyle="1">
    <w:name w:val="ListLabel 67"/>
    <w:qFormat/>
    <w:rPr>
      <w:rFonts w:cs="Noto Sans Symbols"/>
    </w:rPr>
  </w:style>
  <w:style w:type="character" w:styleId="ListLabel68" w:customStyle="1">
    <w:name w:val="ListLabel 68"/>
    <w:qFormat/>
    <w:rPr>
      <w:rFonts w:cs="Noto Sans Symbols"/>
    </w:rPr>
  </w:style>
  <w:style w:type="character" w:styleId="ListLabel69" w:customStyle="1">
    <w:name w:val="ListLabel 69"/>
    <w:qFormat/>
    <w:rPr>
      <w:rFonts w:cs="Noto Sans Symbols"/>
    </w:rPr>
  </w:style>
  <w:style w:type="character" w:styleId="ListLabel70" w:customStyle="1">
    <w:name w:val="ListLabel 70"/>
    <w:qFormat/>
    <w:rPr>
      <w:rFonts w:cs="Noto Sans Symbols"/>
    </w:rPr>
  </w:style>
  <w:style w:type="character" w:styleId="ListLabel71" w:customStyle="1">
    <w:name w:val="ListLabel 71"/>
    <w:qFormat/>
    <w:rPr>
      <w:rFonts w:cs="Noto Sans Symbols"/>
    </w:rPr>
  </w:style>
  <w:style w:type="character" w:styleId="ListLabel72" w:customStyle="1">
    <w:name w:val="ListLabel 72"/>
    <w:qFormat/>
    <w:rPr>
      <w:rFonts w:cs="Noto Sans Symbols"/>
    </w:rPr>
  </w:style>
  <w:style w:type="character" w:styleId="ListLabel73" w:customStyle="1">
    <w:name w:val="ListLabel 73"/>
    <w:qFormat/>
    <w:rPr>
      <w:rFonts w:cs="Noto Sans Symbols"/>
    </w:rPr>
  </w:style>
  <w:style w:type="character" w:styleId="ListLabel74" w:customStyle="1">
    <w:name w:val="ListLabel 74"/>
    <w:qFormat/>
    <w:rPr>
      <w:rFonts w:cs="Noto Sans Symbols"/>
    </w:rPr>
  </w:style>
  <w:style w:type="character" w:styleId="ListLabel75" w:customStyle="1">
    <w:name w:val="ListLabel 75"/>
    <w:qFormat/>
    <w:rPr>
      <w:rFonts w:ascii="Arial" w:hAnsi="Arial" w:cs="Noto Sans Symbols"/>
    </w:rPr>
  </w:style>
  <w:style w:type="character" w:styleId="ListLabel76" w:customStyle="1">
    <w:name w:val="ListLabel 76"/>
    <w:qFormat/>
    <w:rPr>
      <w:rFonts w:cs="Noto Sans Symbols"/>
    </w:rPr>
  </w:style>
  <w:style w:type="character" w:styleId="ListLabel77" w:customStyle="1">
    <w:name w:val="ListLabel 77"/>
    <w:qFormat/>
    <w:rPr>
      <w:rFonts w:cs="Noto Sans Symbols"/>
    </w:rPr>
  </w:style>
  <w:style w:type="character" w:styleId="ListLabel78" w:customStyle="1">
    <w:name w:val="ListLabel 78"/>
    <w:qFormat/>
    <w:rPr>
      <w:rFonts w:cs="Noto Sans Symbols"/>
    </w:rPr>
  </w:style>
  <w:style w:type="character" w:styleId="ListLabel79" w:customStyle="1">
    <w:name w:val="ListLabel 79"/>
    <w:qFormat/>
    <w:rPr>
      <w:rFonts w:cs="Noto Sans Symbols"/>
    </w:rPr>
  </w:style>
  <w:style w:type="character" w:styleId="ListLabel80" w:customStyle="1">
    <w:name w:val="ListLabel 80"/>
    <w:qFormat/>
    <w:rPr>
      <w:rFonts w:cs="Noto Sans Symbols"/>
    </w:rPr>
  </w:style>
  <w:style w:type="character" w:styleId="ListLabel81" w:customStyle="1">
    <w:name w:val="ListLabel 81"/>
    <w:qFormat/>
    <w:rPr>
      <w:rFonts w:cs="Noto Sans Symbols"/>
    </w:rPr>
  </w:style>
  <w:style w:type="character" w:styleId="ListLabel82" w:customStyle="1">
    <w:name w:val="ListLabel 82"/>
    <w:qFormat/>
    <w:rPr>
      <w:rFonts w:cs="Noto Sans Symbols"/>
    </w:rPr>
  </w:style>
  <w:style w:type="character" w:styleId="ListLabel83" w:customStyle="1">
    <w:name w:val="ListLabel 83"/>
    <w:qFormat/>
    <w:rPr>
      <w:rFonts w:cs="Noto Sans Symbols"/>
    </w:rPr>
  </w:style>
  <w:style w:type="character" w:styleId="ListLabel84" w:customStyle="1">
    <w:name w:val="ListLabel 84"/>
    <w:qFormat/>
    <w:rPr>
      <w:rFonts w:ascii="Arial" w:hAnsi="Arial" w:eastAsia="Arial" w:cs="Arial"/>
      <w:color w:val="0563C1"/>
      <w:sz w:val="16"/>
      <w:szCs w:val="16"/>
      <w:u w:val="single"/>
    </w:rPr>
  </w:style>
  <w:style w:type="character" w:styleId="ListLabel85" w:customStyle="1">
    <w:name w:val="ListLabel 85"/>
    <w:qFormat/>
    <w:rPr>
      <w:rFonts w:ascii="Arial" w:hAnsi="Arial" w:cs="Noto Sans Symbols"/>
    </w:rPr>
  </w:style>
  <w:style w:type="character" w:styleId="ListLabel86" w:customStyle="1">
    <w:name w:val="ListLabel 86"/>
    <w:qFormat/>
    <w:rPr>
      <w:rFonts w:cs="Noto Sans Symbols"/>
    </w:rPr>
  </w:style>
  <w:style w:type="character" w:styleId="ListLabel87" w:customStyle="1">
    <w:name w:val="ListLabel 87"/>
    <w:qFormat/>
    <w:rPr>
      <w:rFonts w:cs="Noto Sans Symbols"/>
    </w:rPr>
  </w:style>
  <w:style w:type="character" w:styleId="ListLabel88" w:customStyle="1">
    <w:name w:val="ListLabel 88"/>
    <w:qFormat/>
    <w:rPr>
      <w:rFonts w:cs="Noto Sans Symbols"/>
    </w:rPr>
  </w:style>
  <w:style w:type="character" w:styleId="ListLabel89" w:customStyle="1">
    <w:name w:val="ListLabel 89"/>
    <w:qFormat/>
    <w:rPr>
      <w:rFonts w:cs="Noto Sans Symbols"/>
    </w:rPr>
  </w:style>
  <w:style w:type="character" w:styleId="ListLabel90" w:customStyle="1">
    <w:name w:val="ListLabel 90"/>
    <w:qFormat/>
    <w:rPr>
      <w:rFonts w:cs="Noto Sans Symbols"/>
    </w:rPr>
  </w:style>
  <w:style w:type="character" w:styleId="ListLabel91" w:customStyle="1">
    <w:name w:val="ListLabel 91"/>
    <w:qFormat/>
    <w:rPr>
      <w:rFonts w:cs="Noto Sans Symbols"/>
    </w:rPr>
  </w:style>
  <w:style w:type="character" w:styleId="ListLabel92" w:customStyle="1">
    <w:name w:val="ListLabel 92"/>
    <w:qFormat/>
    <w:rPr>
      <w:rFonts w:cs="Noto Sans Symbols"/>
    </w:rPr>
  </w:style>
  <w:style w:type="character" w:styleId="ListLabel93" w:customStyle="1">
    <w:name w:val="ListLabel 93"/>
    <w:qFormat/>
    <w:rPr>
      <w:rFonts w:cs="Noto Sans Symbols"/>
    </w:rPr>
  </w:style>
  <w:style w:type="character" w:styleId="ListLabel94" w:customStyle="1">
    <w:name w:val="ListLabel 94"/>
    <w:qFormat/>
    <w:rPr>
      <w:rFonts w:ascii="Arial" w:hAnsi="Arial" w:cs="Noto Sans Symbols"/>
    </w:rPr>
  </w:style>
  <w:style w:type="character" w:styleId="ListLabel95" w:customStyle="1">
    <w:name w:val="ListLabel 95"/>
    <w:qFormat/>
    <w:rPr>
      <w:rFonts w:cs="Noto Sans Symbols"/>
    </w:rPr>
  </w:style>
  <w:style w:type="character" w:styleId="ListLabel96" w:customStyle="1">
    <w:name w:val="ListLabel 96"/>
    <w:qFormat/>
    <w:rPr>
      <w:rFonts w:cs="Noto Sans Symbols"/>
    </w:rPr>
  </w:style>
  <w:style w:type="character" w:styleId="ListLabel97" w:customStyle="1">
    <w:name w:val="ListLabel 97"/>
    <w:qFormat/>
    <w:rPr>
      <w:rFonts w:cs="Noto Sans Symbols"/>
    </w:rPr>
  </w:style>
  <w:style w:type="character" w:styleId="ListLabel98" w:customStyle="1">
    <w:name w:val="ListLabel 98"/>
    <w:qFormat/>
    <w:rPr>
      <w:rFonts w:cs="Noto Sans Symbols"/>
    </w:rPr>
  </w:style>
  <w:style w:type="character" w:styleId="ListLabel99" w:customStyle="1">
    <w:name w:val="ListLabel 99"/>
    <w:qFormat/>
    <w:rPr>
      <w:rFonts w:cs="Noto Sans Symbols"/>
    </w:rPr>
  </w:style>
  <w:style w:type="character" w:styleId="ListLabel100" w:customStyle="1">
    <w:name w:val="ListLabel 100"/>
    <w:qFormat/>
    <w:rPr>
      <w:rFonts w:cs="Noto Sans Symbols"/>
    </w:rPr>
  </w:style>
  <w:style w:type="character" w:styleId="ListLabel101" w:customStyle="1">
    <w:name w:val="ListLabel 101"/>
    <w:qFormat/>
    <w:rPr>
      <w:rFonts w:cs="Noto Sans Symbols"/>
    </w:rPr>
  </w:style>
  <w:style w:type="character" w:styleId="ListLabel102" w:customStyle="1">
    <w:name w:val="ListLabel 102"/>
    <w:qFormat/>
    <w:rPr>
      <w:rFonts w:cs="Noto Sans Symbols"/>
    </w:rPr>
  </w:style>
  <w:style w:type="character" w:styleId="ListLabel103" w:customStyle="1">
    <w:name w:val="ListLabel 103"/>
    <w:qFormat/>
    <w:rPr>
      <w:rFonts w:ascii="Arial" w:hAnsi="Arial" w:eastAsia="Arial" w:cs="Arial"/>
      <w:color w:val="0563C1"/>
      <w:sz w:val="16"/>
      <w:szCs w:val="16"/>
      <w:u w:val="single"/>
    </w:rPr>
  </w:style>
  <w:style w:type="character" w:styleId="ListLabel104" w:customStyle="1">
    <w:name w:val="ListLabel 104"/>
    <w:qFormat/>
    <w:rPr>
      <w:rFonts w:cs="Noto Sans Symbols"/>
    </w:rPr>
  </w:style>
  <w:style w:type="character" w:styleId="ListLabel105" w:customStyle="1">
    <w:name w:val="ListLabel 105"/>
    <w:qFormat/>
    <w:rPr>
      <w:rFonts w:cs="Noto Sans Symbols"/>
    </w:rPr>
  </w:style>
  <w:style w:type="character" w:styleId="ListLabel106" w:customStyle="1">
    <w:name w:val="ListLabel 106"/>
    <w:qFormat/>
    <w:rPr>
      <w:rFonts w:cs="Noto Sans Symbols"/>
    </w:rPr>
  </w:style>
  <w:style w:type="character" w:styleId="ListLabel107" w:customStyle="1">
    <w:name w:val="ListLabel 107"/>
    <w:qFormat/>
    <w:rPr>
      <w:rFonts w:cs="Noto Sans Symbols"/>
    </w:rPr>
  </w:style>
  <w:style w:type="character" w:styleId="ListLabel108" w:customStyle="1">
    <w:name w:val="ListLabel 108"/>
    <w:qFormat/>
    <w:rPr>
      <w:rFonts w:cs="Noto Sans Symbols"/>
    </w:rPr>
  </w:style>
  <w:style w:type="character" w:styleId="ListLabel109" w:customStyle="1">
    <w:name w:val="ListLabel 109"/>
    <w:qFormat/>
    <w:rPr>
      <w:rFonts w:cs="Noto Sans Symbols"/>
    </w:rPr>
  </w:style>
  <w:style w:type="character" w:styleId="ListLabel110" w:customStyle="1">
    <w:name w:val="ListLabel 110"/>
    <w:qFormat/>
    <w:rPr>
      <w:rFonts w:cs="Noto Sans Symbols"/>
    </w:rPr>
  </w:style>
  <w:style w:type="character" w:styleId="ListLabel111" w:customStyle="1">
    <w:name w:val="ListLabel 111"/>
    <w:qFormat/>
    <w:rPr>
      <w:rFonts w:cs="Noto Sans Symbols"/>
    </w:rPr>
  </w:style>
  <w:style w:type="character" w:styleId="ListLabel112" w:customStyle="1">
    <w:name w:val="ListLabel 112"/>
    <w:qFormat/>
    <w:rPr>
      <w:rFonts w:cs="Noto Sans Symbols"/>
    </w:rPr>
  </w:style>
  <w:style w:type="character" w:styleId="ListLabel113" w:customStyle="1">
    <w:name w:val="ListLabel 113"/>
    <w:qFormat/>
    <w:rPr>
      <w:rFonts w:ascii="Arial" w:hAnsi="Arial" w:eastAsia="Arial" w:cs="Arial"/>
      <w:color w:val="0563C1"/>
      <w:sz w:val="16"/>
      <w:szCs w:val="16"/>
      <w:u w:val="single"/>
    </w:rPr>
  </w:style>
  <w:style w:type="character" w:styleId="Enfasiforte" w:customStyle="1">
    <w:name w:val="Enfasi forte"/>
    <w:qFormat/>
    <w:rPr>
      <w:b/>
      <w:bCs/>
    </w:rPr>
  </w:style>
  <w:style w:type="character" w:styleId="Enfasi" w:customStyle="1">
    <w:name w:val="Enfasi"/>
    <w:qFormat/>
    <w:rPr>
      <w:i/>
      <w:iCs/>
    </w:rPr>
  </w:style>
  <w:style w:type="character" w:styleId="ListLabel114" w:customStyle="1">
    <w:name w:val="ListLabel 114"/>
    <w:qFormat/>
    <w:rPr>
      <w:rFonts w:cs="Noto Sans Symbols"/>
    </w:rPr>
  </w:style>
  <w:style w:type="character" w:styleId="ListLabel115" w:customStyle="1">
    <w:name w:val="ListLabel 115"/>
    <w:qFormat/>
    <w:rPr>
      <w:rFonts w:cs="Noto Sans Symbols"/>
    </w:rPr>
  </w:style>
  <w:style w:type="character" w:styleId="ListLabel116" w:customStyle="1">
    <w:name w:val="ListLabel 116"/>
    <w:qFormat/>
    <w:rPr>
      <w:rFonts w:cs="Noto Sans Symbols"/>
    </w:rPr>
  </w:style>
  <w:style w:type="character" w:styleId="ListLabel117" w:customStyle="1">
    <w:name w:val="ListLabel 117"/>
    <w:qFormat/>
    <w:rPr>
      <w:rFonts w:cs="Noto Sans Symbols"/>
    </w:rPr>
  </w:style>
  <w:style w:type="character" w:styleId="ListLabel118" w:customStyle="1">
    <w:name w:val="ListLabel 118"/>
    <w:qFormat/>
    <w:rPr>
      <w:rFonts w:cs="Noto Sans Symbols"/>
    </w:rPr>
  </w:style>
  <w:style w:type="character" w:styleId="ListLabel119" w:customStyle="1">
    <w:name w:val="ListLabel 119"/>
    <w:qFormat/>
    <w:rPr>
      <w:rFonts w:cs="Noto Sans Symbols"/>
    </w:rPr>
  </w:style>
  <w:style w:type="character" w:styleId="ListLabel120" w:customStyle="1">
    <w:name w:val="ListLabel 120"/>
    <w:qFormat/>
    <w:rPr>
      <w:rFonts w:cs="Noto Sans Symbols"/>
    </w:rPr>
  </w:style>
  <w:style w:type="character" w:styleId="ListLabel121" w:customStyle="1">
    <w:name w:val="ListLabel 121"/>
    <w:qFormat/>
    <w:rPr>
      <w:rFonts w:cs="Noto Sans Symbols"/>
    </w:rPr>
  </w:style>
  <w:style w:type="character" w:styleId="ListLabel122" w:customStyle="1">
    <w:name w:val="ListLabel 122"/>
    <w:qFormat/>
    <w:rPr>
      <w:rFonts w:cs="Noto Sans Symbols"/>
    </w:rPr>
  </w:style>
  <w:style w:type="character" w:styleId="ListLabel123" w:customStyle="1">
    <w:name w:val="ListLabel 123"/>
    <w:qFormat/>
    <w:rPr/>
  </w:style>
  <w:style w:type="character" w:styleId="ListLabel124" w:customStyle="1">
    <w:name w:val="ListLabel 124"/>
    <w:qFormat/>
    <w:rPr>
      <w:rFonts w:cs="Noto Sans Symbols"/>
    </w:rPr>
  </w:style>
  <w:style w:type="character" w:styleId="ListLabel125" w:customStyle="1">
    <w:name w:val="ListLabel 125"/>
    <w:qFormat/>
    <w:rPr>
      <w:rFonts w:cs="Noto Sans Symbols"/>
    </w:rPr>
  </w:style>
  <w:style w:type="character" w:styleId="ListLabel126" w:customStyle="1">
    <w:name w:val="ListLabel 126"/>
    <w:qFormat/>
    <w:rPr>
      <w:rFonts w:cs="Noto Sans Symbols"/>
    </w:rPr>
  </w:style>
  <w:style w:type="character" w:styleId="ListLabel127" w:customStyle="1">
    <w:name w:val="ListLabel 127"/>
    <w:qFormat/>
    <w:rPr>
      <w:rFonts w:cs="Noto Sans Symbols"/>
    </w:rPr>
  </w:style>
  <w:style w:type="character" w:styleId="ListLabel128" w:customStyle="1">
    <w:name w:val="ListLabel 128"/>
    <w:qFormat/>
    <w:rPr>
      <w:rFonts w:cs="Noto Sans Symbols"/>
    </w:rPr>
  </w:style>
  <w:style w:type="character" w:styleId="ListLabel129" w:customStyle="1">
    <w:name w:val="ListLabel 129"/>
    <w:qFormat/>
    <w:rPr>
      <w:rFonts w:cs="Noto Sans Symbols"/>
    </w:rPr>
  </w:style>
  <w:style w:type="character" w:styleId="ListLabel130" w:customStyle="1">
    <w:name w:val="ListLabel 130"/>
    <w:qFormat/>
    <w:rPr>
      <w:rFonts w:cs="Noto Sans Symbols"/>
    </w:rPr>
  </w:style>
  <w:style w:type="character" w:styleId="ListLabel131" w:customStyle="1">
    <w:name w:val="ListLabel 131"/>
    <w:qFormat/>
    <w:rPr>
      <w:rFonts w:cs="Noto Sans Symbols"/>
    </w:rPr>
  </w:style>
  <w:style w:type="character" w:styleId="ListLabel132" w:customStyle="1">
    <w:name w:val="ListLabel 132"/>
    <w:qFormat/>
    <w:rPr>
      <w:rFonts w:cs="Noto Sans Symbols"/>
    </w:rPr>
  </w:style>
  <w:style w:type="character" w:styleId="ListLabel133" w:customStyle="1">
    <w:name w:val="ListLabel 133"/>
    <w:qFormat/>
    <w:rPr/>
  </w:style>
  <w:style w:type="character" w:styleId="ListLabel134" w:customStyle="1">
    <w:name w:val="ListLabel 134"/>
    <w:qFormat/>
    <w:rPr>
      <w:rFonts w:cs="Noto Sans Symbols"/>
    </w:rPr>
  </w:style>
  <w:style w:type="character" w:styleId="ListLabel135" w:customStyle="1">
    <w:name w:val="ListLabel 135"/>
    <w:qFormat/>
    <w:rPr>
      <w:rFonts w:cs="Noto Sans Symbols"/>
    </w:rPr>
  </w:style>
  <w:style w:type="character" w:styleId="ListLabel136" w:customStyle="1">
    <w:name w:val="ListLabel 136"/>
    <w:qFormat/>
    <w:rPr>
      <w:rFonts w:cs="Noto Sans Symbols"/>
    </w:rPr>
  </w:style>
  <w:style w:type="character" w:styleId="ListLabel137" w:customStyle="1">
    <w:name w:val="ListLabel 137"/>
    <w:qFormat/>
    <w:rPr>
      <w:rFonts w:cs="Noto Sans Symbols"/>
    </w:rPr>
  </w:style>
  <w:style w:type="character" w:styleId="ListLabel138" w:customStyle="1">
    <w:name w:val="ListLabel 138"/>
    <w:qFormat/>
    <w:rPr>
      <w:rFonts w:cs="Noto Sans Symbols"/>
    </w:rPr>
  </w:style>
  <w:style w:type="character" w:styleId="ListLabel139" w:customStyle="1">
    <w:name w:val="ListLabel 139"/>
    <w:qFormat/>
    <w:rPr>
      <w:rFonts w:cs="Noto Sans Symbols"/>
    </w:rPr>
  </w:style>
  <w:style w:type="character" w:styleId="ListLabel140" w:customStyle="1">
    <w:name w:val="ListLabel 140"/>
    <w:qFormat/>
    <w:rPr>
      <w:rFonts w:cs="Noto Sans Symbols"/>
    </w:rPr>
  </w:style>
  <w:style w:type="character" w:styleId="ListLabel141" w:customStyle="1">
    <w:name w:val="ListLabel 141"/>
    <w:qFormat/>
    <w:rPr>
      <w:rFonts w:cs="Noto Sans Symbols"/>
    </w:rPr>
  </w:style>
  <w:style w:type="character" w:styleId="ListLabel142" w:customStyle="1">
    <w:name w:val="ListLabel 142"/>
    <w:qFormat/>
    <w:rPr>
      <w:rFonts w:cs="Noto Sans Symbols"/>
    </w:rPr>
  </w:style>
  <w:style w:type="character" w:styleId="ListLabel143" w:customStyle="1">
    <w:name w:val="ListLabel 143"/>
    <w:qFormat/>
    <w:rPr/>
  </w:style>
  <w:style w:type="character" w:styleId="Punti" w:customStyle="1">
    <w:name w:val="Punti"/>
    <w:qFormat/>
    <w:rPr>
      <w:rFonts w:ascii="OpenSymbol" w:hAnsi="OpenSymbol" w:eastAsia="OpenSymbol" w:cs="OpenSymbol"/>
    </w:rPr>
  </w:style>
  <w:style w:type="character" w:styleId="ListLabel144" w:customStyle="1">
    <w:name w:val="ListLabel 144"/>
    <w:qFormat/>
    <w:rPr>
      <w:rFonts w:cs="Noto Sans Symbols"/>
    </w:rPr>
  </w:style>
  <w:style w:type="character" w:styleId="ListLabel145" w:customStyle="1">
    <w:name w:val="ListLabel 145"/>
    <w:qFormat/>
    <w:rPr>
      <w:rFonts w:cs="Noto Sans Symbols"/>
    </w:rPr>
  </w:style>
  <w:style w:type="character" w:styleId="ListLabel146" w:customStyle="1">
    <w:name w:val="ListLabel 146"/>
    <w:qFormat/>
    <w:rPr>
      <w:rFonts w:cs="Noto Sans Symbols"/>
    </w:rPr>
  </w:style>
  <w:style w:type="character" w:styleId="ListLabel147" w:customStyle="1">
    <w:name w:val="ListLabel 147"/>
    <w:qFormat/>
    <w:rPr>
      <w:rFonts w:cs="Noto Sans Symbols"/>
    </w:rPr>
  </w:style>
  <w:style w:type="character" w:styleId="ListLabel148" w:customStyle="1">
    <w:name w:val="ListLabel 148"/>
    <w:qFormat/>
    <w:rPr>
      <w:rFonts w:cs="Noto Sans Symbols"/>
    </w:rPr>
  </w:style>
  <w:style w:type="character" w:styleId="ListLabel149" w:customStyle="1">
    <w:name w:val="ListLabel 149"/>
    <w:qFormat/>
    <w:rPr>
      <w:rFonts w:cs="Noto Sans Symbols"/>
    </w:rPr>
  </w:style>
  <w:style w:type="character" w:styleId="ListLabel150" w:customStyle="1">
    <w:name w:val="ListLabel 150"/>
    <w:qFormat/>
    <w:rPr>
      <w:rFonts w:cs="Noto Sans Symbols"/>
    </w:rPr>
  </w:style>
  <w:style w:type="character" w:styleId="ListLabel151" w:customStyle="1">
    <w:name w:val="ListLabel 151"/>
    <w:qFormat/>
    <w:rPr>
      <w:rFonts w:cs="Noto Sans Symbols"/>
    </w:rPr>
  </w:style>
  <w:style w:type="character" w:styleId="ListLabel152" w:customStyle="1">
    <w:name w:val="ListLabel 152"/>
    <w:qFormat/>
    <w:rPr>
      <w:rFonts w:cs="Noto Sans Symbols"/>
    </w:rPr>
  </w:style>
  <w:style w:type="character" w:styleId="ListLabel153" w:customStyle="1">
    <w:name w:val="ListLabel 153"/>
    <w:qFormat/>
    <w:rPr/>
  </w:style>
  <w:style w:type="character" w:styleId="ListLabel154">
    <w:name w:val="ListLabel 154"/>
    <w:qFormat/>
    <w:rPr>
      <w:rFonts w:cs="Noto Sans Symbols"/>
    </w:rPr>
  </w:style>
  <w:style w:type="character" w:styleId="ListLabel155">
    <w:name w:val="ListLabel 155"/>
    <w:qFormat/>
    <w:rPr>
      <w:rFonts w:cs="Noto Sans Symbols"/>
    </w:rPr>
  </w:style>
  <w:style w:type="character" w:styleId="ListLabel156">
    <w:name w:val="ListLabel 156"/>
    <w:qFormat/>
    <w:rPr>
      <w:rFonts w:cs="Noto Sans Symbols"/>
    </w:rPr>
  </w:style>
  <w:style w:type="character" w:styleId="ListLabel157">
    <w:name w:val="ListLabel 157"/>
    <w:qFormat/>
    <w:rPr>
      <w:rFonts w:cs="Noto Sans Symbols"/>
    </w:rPr>
  </w:style>
  <w:style w:type="character" w:styleId="ListLabel158">
    <w:name w:val="ListLabel 158"/>
    <w:qFormat/>
    <w:rPr>
      <w:rFonts w:cs="Noto Sans Symbols"/>
    </w:rPr>
  </w:style>
  <w:style w:type="character" w:styleId="ListLabel159">
    <w:name w:val="ListLabel 159"/>
    <w:qFormat/>
    <w:rPr>
      <w:rFonts w:cs="Noto Sans Symbols"/>
    </w:rPr>
  </w:style>
  <w:style w:type="character" w:styleId="ListLabel160">
    <w:name w:val="ListLabel 160"/>
    <w:qFormat/>
    <w:rPr>
      <w:rFonts w:cs="Noto Sans Symbols"/>
    </w:rPr>
  </w:style>
  <w:style w:type="character" w:styleId="ListLabel161">
    <w:name w:val="ListLabel 161"/>
    <w:qFormat/>
    <w:rPr>
      <w:rFonts w:cs="Noto Sans Symbols"/>
    </w:rPr>
  </w:style>
  <w:style w:type="character" w:styleId="ListLabel162">
    <w:name w:val="ListLabel 162"/>
    <w:qFormat/>
    <w:rPr>
      <w:rFonts w:cs="Noto Sans Symbols"/>
    </w:rPr>
  </w:style>
  <w:style w:type="character" w:styleId="ListLabel163">
    <w:name w:val="ListLabel 163"/>
    <w:qFormat/>
    <w:rPr/>
  </w:style>
  <w:style w:type="character" w:styleId="ListLabel164">
    <w:name w:val="ListLabel 164"/>
    <w:qFormat/>
    <w:rPr>
      <w:rFonts w:cs="Noto Sans Symbols"/>
    </w:rPr>
  </w:style>
  <w:style w:type="character" w:styleId="ListLabel165">
    <w:name w:val="ListLabel 165"/>
    <w:qFormat/>
    <w:rPr>
      <w:rFonts w:cs="Noto Sans Symbols"/>
    </w:rPr>
  </w:style>
  <w:style w:type="character" w:styleId="ListLabel166">
    <w:name w:val="ListLabel 166"/>
    <w:qFormat/>
    <w:rPr>
      <w:rFonts w:cs="Noto Sans Symbols"/>
    </w:rPr>
  </w:style>
  <w:style w:type="character" w:styleId="ListLabel167">
    <w:name w:val="ListLabel 167"/>
    <w:qFormat/>
    <w:rPr>
      <w:rFonts w:cs="Noto Sans Symbols"/>
    </w:rPr>
  </w:style>
  <w:style w:type="character" w:styleId="ListLabel168">
    <w:name w:val="ListLabel 168"/>
    <w:qFormat/>
    <w:rPr>
      <w:rFonts w:cs="Noto Sans Symbols"/>
    </w:rPr>
  </w:style>
  <w:style w:type="character" w:styleId="ListLabel169">
    <w:name w:val="ListLabel 169"/>
    <w:qFormat/>
    <w:rPr>
      <w:rFonts w:cs="Noto Sans Symbols"/>
    </w:rPr>
  </w:style>
  <w:style w:type="character" w:styleId="ListLabel170">
    <w:name w:val="ListLabel 170"/>
    <w:qFormat/>
    <w:rPr>
      <w:rFonts w:cs="Noto Sans Symbols"/>
    </w:rPr>
  </w:style>
  <w:style w:type="character" w:styleId="ListLabel171">
    <w:name w:val="ListLabel 171"/>
    <w:qFormat/>
    <w:rPr>
      <w:rFonts w:cs="Noto Sans Symbols"/>
    </w:rPr>
  </w:style>
  <w:style w:type="character" w:styleId="ListLabel172">
    <w:name w:val="ListLabel 172"/>
    <w:qFormat/>
    <w:rPr>
      <w:rFonts w:cs="Noto Sans Symbols"/>
    </w:rPr>
  </w:style>
  <w:style w:type="character" w:styleId="ListLabel173">
    <w:name w:val="ListLabel 173"/>
    <w:qFormat/>
    <w:rPr/>
  </w:style>
  <w:style w:type="character" w:styleId="ListLabel174">
    <w:name w:val="ListLabel 174"/>
    <w:qFormat/>
    <w:rPr>
      <w:rFonts w:cs="Noto Sans Symbols"/>
    </w:rPr>
  </w:style>
  <w:style w:type="character" w:styleId="ListLabel175">
    <w:name w:val="ListLabel 175"/>
    <w:qFormat/>
    <w:rPr>
      <w:rFonts w:cs="Noto Sans Symbols"/>
    </w:rPr>
  </w:style>
  <w:style w:type="character" w:styleId="ListLabel176">
    <w:name w:val="ListLabel 176"/>
    <w:qFormat/>
    <w:rPr>
      <w:rFonts w:cs="Noto Sans Symbols"/>
    </w:rPr>
  </w:style>
  <w:style w:type="character" w:styleId="ListLabel177">
    <w:name w:val="ListLabel 177"/>
    <w:qFormat/>
    <w:rPr>
      <w:rFonts w:cs="Noto Sans Symbols"/>
    </w:rPr>
  </w:style>
  <w:style w:type="character" w:styleId="ListLabel178">
    <w:name w:val="ListLabel 178"/>
    <w:qFormat/>
    <w:rPr>
      <w:rFonts w:cs="Noto Sans Symbols"/>
    </w:rPr>
  </w:style>
  <w:style w:type="character" w:styleId="ListLabel179">
    <w:name w:val="ListLabel 179"/>
    <w:qFormat/>
    <w:rPr>
      <w:rFonts w:cs="Noto Sans Symbols"/>
    </w:rPr>
  </w:style>
  <w:style w:type="character" w:styleId="ListLabel180">
    <w:name w:val="ListLabel 180"/>
    <w:qFormat/>
    <w:rPr>
      <w:rFonts w:cs="Noto Sans Symbols"/>
    </w:rPr>
  </w:style>
  <w:style w:type="character" w:styleId="ListLabel181">
    <w:name w:val="ListLabel 181"/>
    <w:qFormat/>
    <w:rPr>
      <w:rFonts w:cs="Noto Sans Symbols"/>
    </w:rPr>
  </w:style>
  <w:style w:type="character" w:styleId="ListLabel182">
    <w:name w:val="ListLabel 182"/>
    <w:qFormat/>
    <w:rPr>
      <w:rFonts w:cs="Noto Sans Symbols"/>
    </w:rPr>
  </w:style>
  <w:style w:type="character" w:styleId="ListLabel183">
    <w:name w:val="ListLabel 183"/>
    <w:qFormat/>
    <w:rPr/>
  </w:style>
  <w:style w:type="character" w:styleId="ListLabel184">
    <w:name w:val="ListLabel 184"/>
    <w:qFormat/>
    <w:rPr>
      <w:rFonts w:ascii="Arial" w:hAnsi="Arial"/>
      <w:u w:val="none"/>
    </w:rPr>
  </w:style>
  <w:style w:type="character" w:styleId="ListLabel185">
    <w:name w:val="ListLabel 185"/>
    <w:qFormat/>
    <w:rPr>
      <w:u w:val="none"/>
    </w:rPr>
  </w:style>
  <w:style w:type="character" w:styleId="ListLabel186">
    <w:name w:val="ListLabel 186"/>
    <w:qFormat/>
    <w:rPr>
      <w:u w:val="none"/>
    </w:rPr>
  </w:style>
  <w:style w:type="character" w:styleId="ListLabel187">
    <w:name w:val="ListLabel 187"/>
    <w:qFormat/>
    <w:rPr>
      <w:u w:val="none"/>
    </w:rPr>
  </w:style>
  <w:style w:type="character" w:styleId="ListLabel188">
    <w:name w:val="ListLabel 188"/>
    <w:qFormat/>
    <w:rPr>
      <w:u w:val="none"/>
    </w:rPr>
  </w:style>
  <w:style w:type="character" w:styleId="ListLabel189">
    <w:name w:val="ListLabel 189"/>
    <w:qFormat/>
    <w:rPr>
      <w:u w:val="none"/>
    </w:rPr>
  </w:style>
  <w:style w:type="character" w:styleId="ListLabel190">
    <w:name w:val="ListLabel 190"/>
    <w:qFormat/>
    <w:rPr>
      <w:u w:val="none"/>
    </w:rPr>
  </w:style>
  <w:style w:type="character" w:styleId="ListLabel191">
    <w:name w:val="ListLabel 191"/>
    <w:qFormat/>
    <w:rPr>
      <w:u w:val="none"/>
    </w:rPr>
  </w:style>
  <w:style w:type="character" w:styleId="ListLabel192">
    <w:name w:val="ListLabel 192"/>
    <w:qFormat/>
    <w:rPr>
      <w:u w:val="none"/>
    </w:rPr>
  </w:style>
  <w:style w:type="character" w:styleId="ListLabel193">
    <w:name w:val="ListLabel 193"/>
    <w:qFormat/>
    <w:rPr>
      <w:rFonts w:ascii="Arial" w:hAnsi="Arial"/>
      <w:u w:val="none"/>
    </w:rPr>
  </w:style>
  <w:style w:type="character" w:styleId="ListLabel194">
    <w:name w:val="ListLabel 194"/>
    <w:qFormat/>
    <w:rPr>
      <w:u w:val="none"/>
    </w:rPr>
  </w:style>
  <w:style w:type="character" w:styleId="ListLabel195">
    <w:name w:val="ListLabel 195"/>
    <w:qFormat/>
    <w:rPr>
      <w:u w:val="none"/>
    </w:rPr>
  </w:style>
  <w:style w:type="character" w:styleId="ListLabel196">
    <w:name w:val="ListLabel 196"/>
    <w:qFormat/>
    <w:rPr>
      <w:u w:val="none"/>
    </w:rPr>
  </w:style>
  <w:style w:type="character" w:styleId="ListLabel197">
    <w:name w:val="ListLabel 197"/>
    <w:qFormat/>
    <w:rPr>
      <w:u w:val="none"/>
    </w:rPr>
  </w:style>
  <w:style w:type="character" w:styleId="ListLabel198">
    <w:name w:val="ListLabel 198"/>
    <w:qFormat/>
    <w:rPr>
      <w:u w:val="none"/>
    </w:rPr>
  </w:style>
  <w:style w:type="character" w:styleId="ListLabel199">
    <w:name w:val="ListLabel 199"/>
    <w:qFormat/>
    <w:rPr>
      <w:u w:val="none"/>
    </w:rPr>
  </w:style>
  <w:style w:type="character" w:styleId="ListLabel200">
    <w:name w:val="ListLabel 200"/>
    <w:qFormat/>
    <w:rPr>
      <w:u w:val="none"/>
    </w:rPr>
  </w:style>
  <w:style w:type="character" w:styleId="ListLabel201">
    <w:name w:val="ListLabel 201"/>
    <w:qFormat/>
    <w:rPr>
      <w:u w:val="none"/>
    </w:rPr>
  </w:style>
  <w:style w:type="character" w:styleId="ListLabel202">
    <w:name w:val="ListLabel 202"/>
    <w:qFormat/>
    <w:rPr>
      <w:rFonts w:ascii="Arial" w:hAnsi="Arial"/>
      <w:u w:val="none"/>
    </w:rPr>
  </w:style>
  <w:style w:type="character" w:styleId="ListLabel203">
    <w:name w:val="ListLabel 203"/>
    <w:qFormat/>
    <w:rPr>
      <w:u w:val="none"/>
    </w:rPr>
  </w:style>
  <w:style w:type="character" w:styleId="ListLabel204">
    <w:name w:val="ListLabel 204"/>
    <w:qFormat/>
    <w:rPr>
      <w:u w:val="none"/>
    </w:rPr>
  </w:style>
  <w:style w:type="character" w:styleId="ListLabel205">
    <w:name w:val="ListLabel 205"/>
    <w:qFormat/>
    <w:rPr>
      <w:u w:val="none"/>
    </w:rPr>
  </w:style>
  <w:style w:type="character" w:styleId="ListLabel206">
    <w:name w:val="ListLabel 206"/>
    <w:qFormat/>
    <w:rPr>
      <w:u w:val="none"/>
    </w:rPr>
  </w:style>
  <w:style w:type="character" w:styleId="ListLabel207">
    <w:name w:val="ListLabel 207"/>
    <w:qFormat/>
    <w:rPr>
      <w:u w:val="none"/>
    </w:rPr>
  </w:style>
  <w:style w:type="character" w:styleId="ListLabel208">
    <w:name w:val="ListLabel 208"/>
    <w:qFormat/>
    <w:rPr>
      <w:u w:val="none"/>
    </w:rPr>
  </w:style>
  <w:style w:type="character" w:styleId="ListLabel209">
    <w:name w:val="ListLabel 209"/>
    <w:qFormat/>
    <w:rPr>
      <w:u w:val="none"/>
    </w:rPr>
  </w:style>
  <w:style w:type="character" w:styleId="ListLabel210">
    <w:name w:val="ListLabel 210"/>
    <w:qFormat/>
    <w:rPr>
      <w:u w:val="none"/>
    </w:rPr>
  </w:style>
  <w:style w:type="character" w:styleId="ListLabel211">
    <w:name w:val="ListLabel 211"/>
    <w:qFormat/>
    <w:rPr>
      <w:rFonts w:ascii="Arial" w:hAnsi="Arial" w:eastAsia="Arial" w:cs="Arial"/>
      <w:color w:val="0563C1"/>
      <w:sz w:val="16"/>
      <w:szCs w:val="16"/>
      <w:u w:val="single"/>
    </w:rPr>
  </w:style>
  <w:style w:type="paragraph" w:styleId="Titolo">
    <w:name w:val="Titolo"/>
    <w:basedOn w:val="Normal1"/>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1"/>
    <w:pPr>
      <w:spacing w:lineRule="auto" w:line="276" w:before="0" w:after="140"/>
    </w:pPr>
    <w:rPr/>
  </w:style>
  <w:style w:type="paragraph" w:styleId="Elenco">
    <w:name w:val="List"/>
    <w:basedOn w:val="Corpodeltesto"/>
    <w:pPr/>
    <w:rPr>
      <w:rFonts w:cs="Mangal"/>
    </w:rPr>
  </w:style>
  <w:style w:type="paragraph" w:styleId="Didascalia">
    <w:name w:val="Caption"/>
    <w:basedOn w:val="Normal1"/>
    <w:qFormat/>
    <w:pPr>
      <w:suppressLineNumbers/>
      <w:spacing w:before="120" w:after="120"/>
    </w:pPr>
    <w:rPr>
      <w:rFonts w:cs="Arial"/>
      <w:i/>
      <w:iCs/>
      <w:sz w:val="24"/>
      <w:szCs w:val="24"/>
    </w:rPr>
  </w:style>
  <w:style w:type="paragraph" w:styleId="Indice" w:customStyle="1">
    <w:name w:val="Indice"/>
    <w:basedOn w:val="Normal1"/>
    <w:qFormat/>
    <w:pPr>
      <w:suppressLineNumbers/>
    </w:pPr>
    <w:rPr>
      <w:rFonts w:cs="Mangal"/>
    </w:rPr>
  </w:style>
  <w:style w:type="paragraph" w:styleId="Normal1" w:default="1">
    <w:name w:val="LO-normal1"/>
    <w:qFormat/>
    <w:pPr>
      <w:widowControl/>
      <w:bidi w:val="0"/>
      <w:jc w:val="left"/>
    </w:pPr>
    <w:rPr>
      <w:rFonts w:ascii="Calibri" w:hAnsi="Calibri" w:eastAsia="Calibri" w:cs="Calibri"/>
      <w:color w:val="00000A"/>
      <w:kern w:val="0"/>
      <w:sz w:val="24"/>
      <w:szCs w:val="24"/>
      <w:lang w:val="it" w:eastAsia="zh-CN" w:bidi="hi-IN"/>
    </w:rPr>
  </w:style>
  <w:style w:type="paragraph" w:styleId="Titoloprincipale">
    <w:name w:val="Title"/>
    <w:basedOn w:val="Normal1"/>
    <w:next w:val="Normal1"/>
    <w:qFormat/>
    <w:pPr>
      <w:keepNext w:val="true"/>
      <w:spacing w:lineRule="auto" w:line="240" w:before="240" w:after="120"/>
    </w:pPr>
    <w:rPr>
      <w:rFonts w:ascii="Liberation Sans" w:hAnsi="Liberation Sans" w:eastAsia="Liberation Sans" w:cs="Liberation Sans"/>
      <w:sz w:val="28"/>
      <w:szCs w:val="28"/>
    </w:rPr>
  </w:style>
  <w:style w:type="paragraph" w:styleId="Caption">
    <w:name w:val="caption"/>
    <w:basedOn w:val="Normal1"/>
    <w:qFormat/>
    <w:pPr>
      <w:suppressLineNumbers/>
      <w:spacing w:before="120" w:after="120"/>
    </w:pPr>
    <w:rPr>
      <w:rFonts w:cs="Mangal"/>
      <w:i/>
      <w:iCs/>
    </w:rPr>
  </w:style>
  <w:style w:type="paragraph" w:styleId="LOnormal" w:customStyle="1">
    <w:name w:val="LO-normal"/>
    <w:qFormat/>
    <w:pPr>
      <w:widowControl/>
      <w:bidi w:val="0"/>
      <w:jc w:val="left"/>
    </w:pPr>
    <w:rPr>
      <w:rFonts w:ascii="Calibri" w:hAnsi="Calibri" w:eastAsia="Calibri" w:cs="Calibri"/>
      <w:color w:val="00000A"/>
      <w:kern w:val="0"/>
      <w:sz w:val="24"/>
      <w:szCs w:val="24"/>
      <w:lang w:val="it-IT" w:eastAsia="zh-CN" w:bidi="hi-IN"/>
    </w:rPr>
  </w:style>
  <w:style w:type="paragraph" w:styleId="Titolo11" w:customStyle="1">
    <w:name w:val="Titolo1"/>
    <w:basedOn w:val="Normal1"/>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HeaderandFooter" w:customStyle="1">
    <w:name w:val="Header and Footer"/>
    <w:basedOn w:val="Standard"/>
    <w:qFormat/>
    <w:pPr>
      <w:suppressLineNumbers/>
    </w:pPr>
    <w:rPr/>
  </w:style>
  <w:style w:type="paragraph" w:styleId="Intestazione">
    <w:name w:val="Header"/>
    <w:basedOn w:val="Normal1"/>
    <w:pPr/>
    <w:rPr/>
  </w:style>
  <w:style w:type="paragraph" w:styleId="Pidipagina">
    <w:name w:val="Footer"/>
    <w:basedOn w:val="Normal1"/>
    <w:pPr/>
    <w:rPr/>
  </w:style>
  <w:style w:type="paragraph" w:styleId="NormalWeb">
    <w:name w:val="Normal (Web)"/>
    <w:basedOn w:val="Normal1"/>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Normal1"/>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1"/>
    <w:link w:val="TestofumettoCarattere"/>
    <w:uiPriority w:val="99"/>
    <w:semiHidden/>
    <w:unhideWhenUsed/>
    <w:qFormat/>
    <w:rsid w:val="00b63037"/>
    <w:pPr/>
    <w:rPr>
      <w:rFonts w:ascii="Tahoma" w:hAnsi="Tahoma" w:cs="Tahoma"/>
      <w:sz w:val="16"/>
      <w:szCs w:val="16"/>
    </w:rPr>
  </w:style>
  <w:style w:type="paragraph" w:styleId="ListParagraph">
    <w:name w:val="List Paragraph"/>
    <w:basedOn w:val="Normal1"/>
    <w:uiPriority w:val="34"/>
    <w:qFormat/>
    <w:rsid w:val="00596be1"/>
    <w:pPr>
      <w:spacing w:before="0" w:after="0"/>
      <w:ind w:left="720" w:hanging="0"/>
      <w:contextualSpacing/>
    </w:pPr>
    <w:rPr>
      <w:rFonts w:cs="Mangal"/>
      <w:szCs w:val="21"/>
    </w:rPr>
  </w:style>
  <w:style w:type="paragraph" w:styleId="Sottotitolo">
    <w:name w:val="Subtitle"/>
    <w:basedOn w:val="Normal1"/>
    <w:next w:val="Normal1"/>
    <w:qFormat/>
    <w:pPr>
      <w:keepNext w:val="true"/>
      <w:keepLines/>
      <w:pageBreakBefore w:val="false"/>
      <w:widowControl/>
      <w:pBdr/>
      <w:shd w:val="clear" w:fill="auto"/>
      <w:spacing w:lineRule="auto" w:line="240" w:before="360" w:after="80"/>
      <w:ind w:left="0" w:right="0" w:hanging="0"/>
      <w:jc w:val="left"/>
    </w:pPr>
    <w:rPr>
      <w:rFonts w:ascii="Georgia" w:hAnsi="Georgia" w:eastAsia="Georgia" w:cs="Georgia"/>
      <w:b w:val="false"/>
      <w:bCs w:val="false"/>
      <w:i/>
      <w:iCs/>
      <w:caps w:val="false"/>
      <w:smallCaps w:val="false"/>
      <w:strike w:val="false"/>
      <w:dstrike w:val="false"/>
      <w:color w:val="666666"/>
      <w:position w:val="0"/>
      <w:sz w:val="48"/>
      <w:sz w:val="48"/>
      <w:szCs w:val="48"/>
      <w:u w:val="none"/>
      <w:shd w:fill="auto" w:val="clear"/>
      <w:vertAlign w:val="baseline"/>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_rels/footer2.xml.rels><?xml version="1.0" encoding="UTF-8"?>
<Relationships xmlns="http://schemas.openxmlformats.org/package/2006/relationships"><Relationship Id="rId1" Type="http://schemas.openxmlformats.org/officeDocument/2006/relationships/hyperlink" Target="mailto:med.lavoro@aopd.veneto.it"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mTfP+Dml4XDGzleCV7b/WMFIgDg==">CgMxLjAyDmgubXY0cGZjdDQ4N3o4MgloLjMwajB6bGwyCWguMWZvYjl0ZTIJaC4zem55c2g3MgloLjJldDkycDAyCGgudHlqY3d0MgloLjNkeTZ2a20yCWguMXQzaDVzZjIIaC5namRneHM4AHIhMWlLRzREbl9wWWVzR2lVUjBRUFpEc2E3enhzOEFkM0pH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65</TotalTime>
  <Application>LibreOffice/6.2.1.2$Windows_x86 LibreOffice_project/7bcb35dc3024a62dea0caee87020152d1ee96e71</Application>
  <Pages>11</Pages>
  <Words>3275</Words>
  <Characters>19998</Characters>
  <CharactersWithSpaces>23154</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dc:description/>
  <dc:language>it-IT</dc:language>
  <cp:lastModifiedBy/>
  <dcterms:modified xsi:type="dcterms:W3CDTF">2026-01-19T09:39:55Z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