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76"/>
        <w:jc w:val="right"/>
        <w:rPr>
          <w:rFonts w:ascii="Arial" w:hAnsi="Arial" w:eastAsia="Arial" w:cs="Arial"/>
        </w:rPr>
      </w:pPr>
      <w:r>
        <w:rPr>
          <w:rFonts w:eastAsia="Arial" w:cs="Arial" w:ascii="Arial" w:hAnsi="Arial"/>
        </w:rPr>
      </w:r>
    </w:p>
    <w:p>
      <w:pPr>
        <w:pStyle w:val="Normal"/>
        <w:spacing w:lineRule="auto" w:line="276"/>
        <w:jc w:val="right"/>
        <w:rPr/>
      </w:pPr>
      <w:r>
        <w:rPr>
          <w:rFonts w:eastAsia="Arial" w:cs="Arial" w:ascii="Arial" w:hAnsi="Arial"/>
        </w:rPr>
        <w:tab/>
        <w:tab/>
        <w:tab/>
        <w:t>Padova, 02</w:t>
      </w:r>
      <w:bookmarkStart w:id="0" w:name="__DdeLink__297_3866114419"/>
      <w:r>
        <w:rPr>
          <w:rFonts w:eastAsia="Arial" w:cs="Arial" w:ascii="Arial" w:hAnsi="Arial"/>
        </w:rPr>
        <w:t>/02/202</w:t>
      </w:r>
      <w:bookmarkEnd w:id="0"/>
      <w:r>
        <w:rPr>
          <w:rFonts w:eastAsia="Arial" w:cs="Arial" w:ascii="Arial" w:hAnsi="Arial"/>
        </w:rPr>
        <w:t>6</w:t>
      </w:r>
    </w:p>
    <w:p>
      <w:pPr>
        <w:pStyle w:val="Normal"/>
        <w:spacing w:lineRule="auto" w:line="276"/>
        <w:jc w:val="right"/>
        <w:rPr>
          <w:rFonts w:ascii="Arial" w:hAnsi="Arial" w:eastAsia="Arial" w:cs="Arial"/>
        </w:rPr>
      </w:pPr>
      <w:r>
        <w:rPr>
          <w:rFonts w:eastAsia="Arial" w:cs="Arial" w:ascii="Arial" w:hAnsi="Arial"/>
        </w:rPr>
      </w:r>
    </w:p>
    <w:p>
      <w:pPr>
        <w:pStyle w:val="Normal"/>
        <w:jc w:val="both"/>
        <w:rPr>
          <w:rFonts w:ascii="Calibri" w:hAnsi="Calibri"/>
          <w:sz w:val="24"/>
          <w:szCs w:val="24"/>
        </w:rPr>
      </w:pPr>
      <w:r>
        <w:rPr>
          <w:rFonts w:eastAsia="Arial" w:cs="Arial"/>
          <w:sz w:val="24"/>
          <w:szCs w:val="24"/>
        </w:rPr>
        <w:t>Al Medico di Medicina Gener</w:t>
      </w:r>
      <w:r>
        <w:rPr>
          <w:rFonts w:eastAsia="Arial" w:cs="Arial"/>
          <w:color w:val="000000"/>
          <w:sz w:val="24"/>
          <w:szCs w:val="24"/>
        </w:rPr>
        <w:t>ale del Sig. Troka Brahim, nato il 05/03/1963.</w:t>
      </w:r>
    </w:p>
    <w:p>
      <w:pPr>
        <w:pStyle w:val="Normal"/>
        <w:jc w:val="both"/>
        <w:rPr>
          <w:rFonts w:ascii="Calibri" w:hAnsi="Calibri" w:eastAsia="Arial" w:cs="Arial"/>
          <w:color w:val="000000"/>
          <w:sz w:val="24"/>
          <w:szCs w:val="24"/>
        </w:rPr>
      </w:pPr>
      <w:r>
        <w:rPr>
          <w:rFonts w:eastAsia="Arial" w:cs="Arial"/>
          <w:color w:val="000000"/>
          <w:sz w:val="24"/>
          <w:szCs w:val="24"/>
        </w:rPr>
      </w:r>
    </w:p>
    <w:p>
      <w:pPr>
        <w:pStyle w:val="Normal"/>
        <w:jc w:val="both"/>
        <w:rPr>
          <w:rFonts w:ascii="Calibri" w:hAnsi="Calibri"/>
          <w:sz w:val="24"/>
          <w:szCs w:val="24"/>
        </w:rPr>
      </w:pPr>
      <w:r>
        <w:rPr>
          <w:rFonts w:eastAsia="Arial" w:cs="Arial"/>
          <w:color w:val="000000"/>
          <w:sz w:val="24"/>
          <w:szCs w:val="24"/>
        </w:rPr>
        <w:t>Egregio Collega, il Sig. Troka Brahim il giorno 22/10/2025 è stato sottoposto a visita medica presso l'Ambulatorio di Medicina del Lavoro, per “Visita di medicina del lavoro per spondilodiscopatia, tendinopatia della cuffia dei rotatori”, di possibile origine professionale.</w:t>
      </w:r>
    </w:p>
    <w:p>
      <w:pPr>
        <w:pStyle w:val="Normal"/>
        <w:jc w:val="both"/>
        <w:rPr>
          <w:rFonts w:ascii="Calibri" w:hAnsi="Calibri" w:eastAsia="Arial" w:cs="Arial"/>
          <w:color w:val="4A86E8"/>
          <w:sz w:val="24"/>
          <w:szCs w:val="24"/>
        </w:rPr>
      </w:pPr>
      <w:r>
        <w:rPr>
          <w:rFonts w:eastAsia="Arial" w:cs="Arial"/>
          <w:color w:val="4A86E8"/>
          <w:sz w:val="24"/>
          <w:szCs w:val="24"/>
        </w:rPr>
      </w:r>
    </w:p>
    <w:p>
      <w:pPr>
        <w:pStyle w:val="Normal"/>
        <w:jc w:val="both"/>
        <w:rPr>
          <w:rFonts w:ascii="Calibri" w:hAnsi="Calibri"/>
          <w:sz w:val="24"/>
          <w:szCs w:val="24"/>
        </w:rPr>
      </w:pPr>
      <w:r>
        <w:rPr>
          <w:rFonts w:eastAsia="Arial" w:cs="Arial"/>
          <w:i/>
          <w:sz w:val="24"/>
          <w:szCs w:val="24"/>
        </w:rPr>
        <w:t>Inviato da Sindacato</w:t>
      </w:r>
    </w:p>
    <w:p>
      <w:pPr>
        <w:pStyle w:val="Titolo1"/>
        <w:jc w:val="both"/>
        <w:rPr>
          <w:rFonts w:ascii="Calibri" w:hAnsi="Calibri"/>
          <w:sz w:val="24"/>
          <w:szCs w:val="24"/>
        </w:rPr>
      </w:pPr>
      <w:bookmarkStart w:id="1" w:name="_heading=h.30j0zll"/>
      <w:bookmarkEnd w:id="1"/>
      <w:r>
        <w:rPr>
          <w:rFonts w:eastAsia="Arial" w:cs="Arial" w:ascii="Calibri" w:hAnsi="Calibri"/>
          <w:b/>
          <w:sz w:val="24"/>
          <w:szCs w:val="24"/>
        </w:rPr>
        <w:t>ANAMNESI LAVORATIVA</w:t>
      </w:r>
    </w:p>
    <w:p>
      <w:pPr>
        <w:pStyle w:val="Normal"/>
        <w:jc w:val="both"/>
        <w:rPr>
          <w:rFonts w:ascii="Calibri" w:hAnsi="Calibri"/>
          <w:sz w:val="24"/>
          <w:szCs w:val="24"/>
        </w:rPr>
      </w:pPr>
      <w:r>
        <w:rPr>
          <w:rFonts w:eastAsia="Arial" w:cs="Arial"/>
          <w:sz w:val="24"/>
          <w:szCs w:val="24"/>
        </w:rPr>
        <w:t>Riferisce di aver lavorato:</w:t>
      </w:r>
    </w:p>
    <w:p>
      <w:pPr>
        <w:pStyle w:val="Normal"/>
        <w:numPr>
          <w:ilvl w:val="0"/>
          <w:numId w:val="1"/>
        </w:numPr>
        <w:jc w:val="both"/>
        <w:rPr>
          <w:shd w:fill="auto" w:val="clear"/>
        </w:rPr>
      </w:pPr>
      <w:r>
        <w:rPr>
          <w:rFonts w:eastAsia="Arial" w:cs="Arial"/>
          <w:sz w:val="24"/>
          <w:szCs w:val="24"/>
          <w:shd w:fill="auto" w:val="clear"/>
        </w:rPr>
        <w:t xml:space="preserve">dal 01/1974 fino al </w:t>
      </w:r>
      <w:r>
        <w:rPr>
          <w:rFonts w:eastAsia="Arial" w:cs="Arial"/>
          <w:sz w:val="24"/>
          <w:szCs w:val="24"/>
          <w:shd w:fill="auto" w:val="clear"/>
        </w:rPr>
        <w:t>1980</w:t>
      </w:r>
      <w:r>
        <w:rPr>
          <w:rFonts w:eastAsia="Arial" w:cs="Arial"/>
          <w:sz w:val="24"/>
          <w:szCs w:val="24"/>
          <w:shd w:fill="auto" w:val="clear"/>
        </w:rPr>
        <w:t xml:space="preserve"> come agricoltore in Albania, in modo non continuativo </w:t>
      </w:r>
      <w:r>
        <w:rPr>
          <w:rFonts w:eastAsia="Arial" w:cs="Arial"/>
          <w:sz w:val="24"/>
          <w:szCs w:val="24"/>
          <w:shd w:fill="auto" w:val="clear"/>
        </w:rPr>
        <w:t>(non porta documentazione attestante tale attività in visione)</w:t>
      </w:r>
      <w:r>
        <w:rPr>
          <w:rFonts w:eastAsia="Arial" w:cs="Arial"/>
          <w:sz w:val="24"/>
          <w:szCs w:val="24"/>
          <w:shd w:fill="auto" w:val="clear"/>
        </w:rPr>
        <w:t>;</w:t>
      </w:r>
    </w:p>
    <w:p>
      <w:pPr>
        <w:pStyle w:val="Normal"/>
        <w:numPr>
          <w:ilvl w:val="0"/>
          <w:numId w:val="1"/>
        </w:numPr>
        <w:jc w:val="both"/>
        <w:rPr>
          <w:rFonts w:ascii="Calibri" w:hAnsi="Calibri"/>
          <w:sz w:val="24"/>
          <w:szCs w:val="24"/>
        </w:rPr>
      </w:pPr>
      <w:r>
        <w:rPr>
          <w:rFonts w:eastAsia="Arial" w:cs="Arial"/>
          <w:sz w:val="24"/>
          <w:szCs w:val="24"/>
        </w:rPr>
        <w:t>dal 01/198</w:t>
      </w:r>
      <w:r>
        <w:rPr>
          <w:rFonts w:eastAsia="Arial" w:cs="Arial"/>
          <w:color w:val="000000"/>
          <w:sz w:val="24"/>
          <w:szCs w:val="24"/>
        </w:rPr>
        <w:t>1 al 01/1983 ha svolto servizio di leva.</w:t>
      </w:r>
    </w:p>
    <w:p>
      <w:pPr>
        <w:pStyle w:val="Normal"/>
        <w:numPr>
          <w:ilvl w:val="0"/>
          <w:numId w:val="1"/>
        </w:numPr>
        <w:jc w:val="both"/>
        <w:rPr/>
      </w:pPr>
      <w:r>
        <w:rPr>
          <w:rFonts w:eastAsia="Arial" w:cs="Arial"/>
          <w:color w:val="000000"/>
          <w:sz w:val="24"/>
          <w:szCs w:val="24"/>
        </w:rPr>
        <w:t>dal 04/1996 al 01/1997 come muratore presso l’impresa edile Zorzetto Elvio, situata a Zelarino (VE), operante nel settore dell’</w:t>
      </w:r>
      <w:r>
        <w:rPr>
          <w:rStyle w:val="Enfasiforte"/>
          <w:rFonts w:eastAsia="Arial" w:cs="Arial"/>
          <w:b w:val="false"/>
          <w:bCs w:val="false"/>
          <w:color w:val="000000"/>
          <w:sz w:val="24"/>
          <w:szCs w:val="24"/>
        </w:rPr>
        <w:t>edilizia residenziale per nuove costruzioni</w:t>
      </w:r>
      <w:r>
        <w:rPr>
          <w:rFonts w:eastAsia="Arial" w:cs="Arial"/>
          <w:color w:val="000000"/>
          <w:sz w:val="24"/>
          <w:szCs w:val="24"/>
        </w:rPr>
        <w:t xml:space="preserve">. L’attività lavorativa prevedeva </w:t>
      </w:r>
      <w:r>
        <w:rPr>
          <w:rStyle w:val="Enfasiforte"/>
          <w:rFonts w:eastAsia="Arial" w:cs="Arial"/>
          <w:b w:val="false"/>
          <w:bCs w:val="false"/>
          <w:color w:val="000000"/>
          <w:sz w:val="24"/>
          <w:szCs w:val="24"/>
        </w:rPr>
        <w:t>mansioni manuali di cantiere</w:t>
      </w:r>
      <w:r>
        <w:rPr>
          <w:rFonts w:eastAsia="Arial" w:cs="Arial"/>
          <w:color w:val="000000"/>
          <w:sz w:val="24"/>
          <w:szCs w:val="24"/>
        </w:rPr>
        <w:t xml:space="preserve"> con movimentazione frequente di carichi. In particolare, il paziente trasportava </w:t>
      </w:r>
      <w:r>
        <w:rPr>
          <w:rStyle w:val="Enfasiforte"/>
          <w:rFonts w:eastAsia="Arial" w:cs="Arial"/>
          <w:b w:val="false"/>
          <w:bCs w:val="false"/>
          <w:color w:val="000000"/>
          <w:sz w:val="24"/>
          <w:szCs w:val="24"/>
        </w:rPr>
        <w:t>sacchi di sabbia e cemento del peso di circa 25 kg</w:t>
      </w:r>
      <w:r>
        <w:rPr>
          <w:rFonts w:eastAsia="Arial" w:cs="Arial"/>
          <w:color w:val="000000"/>
          <w:sz w:val="24"/>
          <w:szCs w:val="24"/>
        </w:rPr>
        <w:t xml:space="preserve">, svuotati manualmente, fino a circa </w:t>
      </w:r>
      <w:r>
        <w:rPr>
          <w:rStyle w:val="Enfasiforte"/>
          <w:rFonts w:eastAsia="Arial" w:cs="Arial"/>
          <w:b w:val="false"/>
          <w:bCs w:val="false"/>
          <w:color w:val="000000"/>
          <w:sz w:val="24"/>
          <w:szCs w:val="24"/>
        </w:rPr>
        <w:t>50 sacchi al giorno</w:t>
      </w:r>
      <w:r>
        <w:rPr>
          <w:rFonts w:eastAsia="Arial" w:cs="Arial"/>
          <w:color w:val="000000"/>
          <w:sz w:val="24"/>
          <w:szCs w:val="24"/>
        </w:rPr>
        <w:t xml:space="preserve">. Provvedeva inoltre alla </w:t>
      </w:r>
      <w:r>
        <w:rPr>
          <w:rStyle w:val="Enfasiforte"/>
          <w:rFonts w:eastAsia="Arial" w:cs="Arial"/>
          <w:b w:val="false"/>
          <w:bCs w:val="false"/>
          <w:color w:val="000000"/>
          <w:sz w:val="24"/>
          <w:szCs w:val="24"/>
        </w:rPr>
        <w:t>preparazione della malta</w:t>
      </w:r>
      <w:r>
        <w:rPr>
          <w:rFonts w:eastAsia="Arial" w:cs="Arial"/>
          <w:color w:val="000000"/>
          <w:sz w:val="24"/>
          <w:szCs w:val="24"/>
        </w:rPr>
        <w:t xml:space="preserve"> mediante betoniera, al successivo trasferimento della stessa nella carriola e al </w:t>
      </w:r>
      <w:r>
        <w:rPr>
          <w:rStyle w:val="Enfasiforte"/>
          <w:rFonts w:eastAsia="Arial" w:cs="Arial"/>
          <w:b w:val="false"/>
          <w:bCs w:val="false"/>
          <w:color w:val="000000"/>
          <w:sz w:val="24"/>
          <w:szCs w:val="24"/>
        </w:rPr>
        <w:t>trasporto manuale</w:t>
      </w:r>
      <w:r>
        <w:rPr>
          <w:rFonts w:eastAsia="Arial" w:cs="Arial"/>
          <w:color w:val="000000"/>
          <w:sz w:val="24"/>
          <w:szCs w:val="24"/>
        </w:rPr>
        <w:t xml:space="preserve"> fino alle aree di utilizzo. Svolgeva attività di </w:t>
      </w:r>
      <w:r>
        <w:rPr>
          <w:rStyle w:val="Enfasiforte"/>
          <w:rFonts w:eastAsia="Arial" w:cs="Arial"/>
          <w:b w:val="false"/>
          <w:bCs w:val="false"/>
          <w:color w:val="000000"/>
          <w:sz w:val="24"/>
          <w:szCs w:val="24"/>
        </w:rPr>
        <w:t>costruzione di muri e realizzazione di massetti</w:t>
      </w:r>
      <w:r>
        <w:rPr>
          <w:rFonts w:eastAsia="Arial" w:cs="Arial"/>
          <w:color w:val="000000"/>
          <w:sz w:val="24"/>
          <w:szCs w:val="24"/>
        </w:rPr>
        <w:t xml:space="preserve">. I mattoni venivano posizionati in prossimità della zona di lavoro mediante gru; durante la costruzione dei muri il paziente prelevava i mattoni dalla posizione adiacente e li collocava progressivamente sulla struttura in costruzione, procedendo alla stesura della malta fino al completamento del muro, con un’altezza finale di circa </w:t>
      </w:r>
      <w:r>
        <w:rPr>
          <w:rStyle w:val="Enfasiforte"/>
          <w:rFonts w:eastAsia="Arial" w:cs="Arial"/>
          <w:b w:val="false"/>
          <w:bCs w:val="false"/>
          <w:color w:val="000000"/>
          <w:sz w:val="24"/>
          <w:szCs w:val="24"/>
        </w:rPr>
        <w:t>2,70–3 metri</w:t>
      </w:r>
      <w:r>
        <w:rPr>
          <w:rFonts w:eastAsia="Arial" w:cs="Arial"/>
          <w:color w:val="000000"/>
          <w:sz w:val="24"/>
          <w:szCs w:val="24"/>
        </w:rPr>
        <w:t xml:space="preserve">. Tali operazioni comportavano il mantenimento prolungato degli </w:t>
      </w:r>
      <w:r>
        <w:rPr>
          <w:rStyle w:val="Enfasiforte"/>
          <w:rFonts w:eastAsia="Arial" w:cs="Arial"/>
          <w:b w:val="false"/>
          <w:bCs w:val="false"/>
          <w:color w:val="000000"/>
          <w:sz w:val="24"/>
          <w:szCs w:val="24"/>
        </w:rPr>
        <w:t>arti superiori al di sopra del piano delle spalle</w:t>
      </w:r>
      <w:r>
        <w:rPr>
          <w:rFonts w:eastAsia="Arial" w:cs="Arial"/>
          <w:color w:val="000000"/>
          <w:sz w:val="24"/>
          <w:szCs w:val="24"/>
        </w:rPr>
        <w:t xml:space="preserve">; nelle fasi iniziali della costruzione il lavoro veniva svolto in </w:t>
      </w:r>
      <w:r>
        <w:rPr>
          <w:rStyle w:val="Enfasiforte"/>
          <w:rFonts w:eastAsia="Arial" w:cs="Arial"/>
          <w:b w:val="false"/>
          <w:bCs w:val="false"/>
          <w:color w:val="000000"/>
          <w:sz w:val="24"/>
          <w:szCs w:val="24"/>
        </w:rPr>
        <w:t>posizione inginocchiata</w:t>
      </w:r>
      <w:r>
        <w:rPr>
          <w:rFonts w:eastAsia="Arial" w:cs="Arial"/>
          <w:color w:val="000000"/>
          <w:sz w:val="24"/>
          <w:szCs w:val="24"/>
        </w:rPr>
        <w:t>. Utilizzava regolarmente i DPI (guanti, mascherina, cuffie otoprotettrici, occhiali protettivi).</w:t>
      </w:r>
    </w:p>
    <w:p>
      <w:pPr>
        <w:pStyle w:val="Normal"/>
        <w:numPr>
          <w:ilvl w:val="0"/>
          <w:numId w:val="1"/>
        </w:numPr>
        <w:jc w:val="both"/>
        <w:rPr/>
      </w:pPr>
      <w:r>
        <w:rPr>
          <w:rFonts w:eastAsia="Arial" w:cs="Arial"/>
          <w:color w:val="000000"/>
          <w:sz w:val="24"/>
          <w:szCs w:val="24"/>
        </w:rPr>
        <w:t>dal 01/1997 al 02/2001 come muratore l’impresa edile F.lli Simionato, situata a Santa Maria di Sala (VE), operante nel settore dell’</w:t>
      </w:r>
      <w:r>
        <w:rPr>
          <w:rStyle w:val="Enfasiforte"/>
          <w:rFonts w:eastAsia="Arial" w:cs="Arial"/>
          <w:b w:val="false"/>
          <w:bCs w:val="false"/>
          <w:color w:val="000000"/>
          <w:sz w:val="24"/>
          <w:szCs w:val="24"/>
        </w:rPr>
        <w:t>edilizia residenziale per nuove costruzioni</w:t>
      </w:r>
      <w:r>
        <w:rPr>
          <w:rFonts w:eastAsia="Arial" w:cs="Arial"/>
          <w:color w:val="000000"/>
          <w:sz w:val="24"/>
          <w:szCs w:val="24"/>
        </w:rPr>
        <w:t>. Riferisce che il tipo di mansioni eseguite erano analoghe a quelle svolte presso la ditta precedente.</w:t>
      </w:r>
    </w:p>
    <w:p>
      <w:pPr>
        <w:pStyle w:val="Normal"/>
        <w:numPr>
          <w:ilvl w:val="0"/>
          <w:numId w:val="1"/>
        </w:numPr>
        <w:jc w:val="both"/>
        <w:rPr>
          <w:rFonts w:ascii="Calibri" w:hAnsi="Calibri"/>
          <w:sz w:val="24"/>
          <w:szCs w:val="24"/>
        </w:rPr>
      </w:pPr>
      <w:r>
        <w:rPr>
          <w:rFonts w:eastAsia="Arial" w:cs="Arial"/>
          <w:color w:val="000000"/>
          <w:sz w:val="24"/>
          <w:szCs w:val="24"/>
        </w:rPr>
        <w:t>dal 02/2001 a oggi come muratore presso l’impresa edile SRL Pezzana di Venezia, ditta specializzata in nuove costruzioni, demolizioni e ristrutturazioni. La giornata lavorativa iniziava tipicamente con il trasporto dei materiali dal magazzino al cantiere, alla guida di autocarro (Iveco o Nissan) per circa 1 ora al giorno. Il materiale veniva caricato m</w:t>
      </w:r>
      <w:r>
        <w:rPr>
          <w:rFonts w:eastAsia="Arial" w:cs="Arial"/>
          <w:sz w:val="24"/>
          <w:szCs w:val="24"/>
        </w:rPr>
        <w:t xml:space="preserve">ediante muletto (bancali di malta) e, se necessario, manualmente, con movimentazione autonoma di sacchi di malta da 25 kg (fino a circa 15 unità). In cantiere il materiale veniva scaricato a mano o con carrucola per il portare il materiale ai piani superiori; il trasporto mediante scale avveniva solo occasionalmente; nei casi di cantieri presso Venezia isola, il trasporto dei materiali veniva effettuato mediante imbarcazioni dedicate. </w:t>
      </w:r>
    </w:p>
    <w:p>
      <w:pPr>
        <w:pStyle w:val="Normal"/>
        <w:numPr>
          <w:ilvl w:val="0"/>
          <w:numId w:val="0"/>
        </w:numPr>
        <w:ind w:left="720" w:hanging="0"/>
        <w:jc w:val="both"/>
        <w:rPr>
          <w:rFonts w:ascii="Calibri" w:hAnsi="Calibri"/>
          <w:sz w:val="24"/>
          <w:szCs w:val="24"/>
        </w:rPr>
      </w:pPr>
      <w:r>
        <w:rPr>
          <w:rFonts w:eastAsia="Arial" w:cs="Arial"/>
          <w:sz w:val="24"/>
          <w:szCs w:val="24"/>
        </w:rPr>
        <w:t xml:space="preserve">L’attività lavorativa in cantiere comprendeva l’esecuzione di demolizioni con utilizzo di mazza manuale e demolitore (martello pneumatico), sostenuto prevalentemente con l’arto superiore destro e direzionato con il sinistro, alternando l’uso degli arti nell’attività manuale. Il lavoratore era inoltre addetto all’intonacatura, che effettuava impugnando frattone e cazzuola con impegno bimanuale, distribuendo la malta sulla parete con movimenti ripetitivi dell’arto superiore, spesso mantenuto al di sopra del piano delle spalle. Altre attività tipiche comprendevano la demolizione di pavimenti con demolitore e il successivo rifacimento del massetto, alternando posizione accovacciata e trascinamento manuale della staggia. Non svolgeva attività di posa di pavimenti né installazione di infissi; occasionalmente posizionava elementi lapidei (davanzali). </w:t>
      </w:r>
    </w:p>
    <w:p>
      <w:pPr>
        <w:pStyle w:val="Normal"/>
        <w:numPr>
          <w:ilvl w:val="0"/>
          <w:numId w:val="0"/>
        </w:numPr>
        <w:ind w:left="720" w:hanging="0"/>
        <w:jc w:val="both"/>
        <w:rPr>
          <w:rFonts w:ascii="Calibri" w:hAnsi="Calibri"/>
          <w:sz w:val="24"/>
          <w:szCs w:val="24"/>
        </w:rPr>
      </w:pPr>
      <w:r>
        <w:rPr>
          <w:rFonts w:eastAsia="Arial" w:cs="Arial"/>
          <w:sz w:val="24"/>
          <w:szCs w:val="24"/>
        </w:rPr>
        <w:t>Al termine delle demolizioni era addetto alla rimozione dei calcinacci mediante carriola o carrucola manuale, con movimentazione di almeno 40 carriole nella giornata dedicata a tale attività (circa 6 giornate al mese).</w:t>
      </w:r>
    </w:p>
    <w:p>
      <w:pPr>
        <w:pStyle w:val="Normal"/>
        <w:jc w:val="both"/>
        <w:rPr>
          <w:rFonts w:eastAsia="Arial" w:cs="Arial"/>
        </w:rPr>
      </w:pPr>
      <w:r>
        <w:rPr>
          <w:rFonts w:eastAsia="Arial" w:cs="Arial"/>
        </w:rPr>
      </w:r>
    </w:p>
    <w:p>
      <w:pPr>
        <w:pStyle w:val="Normal"/>
        <w:jc w:val="both"/>
        <w:rPr>
          <w:rFonts w:ascii="Calibri" w:hAnsi="Calibri"/>
          <w:sz w:val="24"/>
          <w:szCs w:val="24"/>
        </w:rPr>
      </w:pPr>
      <w:r>
        <w:rPr>
          <w:rFonts w:eastAsia="Arial" w:cs="Arial"/>
          <w:sz w:val="24"/>
          <w:szCs w:val="24"/>
        </w:rPr>
        <w:t>Ultimo giorno di lavoro 12/01/2026, da allora in malattia per algie alle spalle bilaterale.</w:t>
      </w:r>
    </w:p>
    <w:p>
      <w:pPr>
        <w:pStyle w:val="Normal"/>
        <w:jc w:val="both"/>
        <w:rPr>
          <w:rFonts w:ascii="Calibri" w:hAnsi="Calibri" w:eastAsia="Arial" w:cs="Arial"/>
          <w:sz w:val="24"/>
          <w:szCs w:val="24"/>
        </w:rPr>
      </w:pPr>
      <w:r>
        <w:rPr>
          <w:rFonts w:eastAsia="Arial" w:cs="Arial"/>
          <w:sz w:val="24"/>
          <w:szCs w:val="24"/>
        </w:rPr>
      </w:r>
    </w:p>
    <w:p>
      <w:pPr>
        <w:pStyle w:val="Normal"/>
        <w:jc w:val="both"/>
        <w:rPr>
          <w:rFonts w:ascii="Calibri" w:hAnsi="Calibri"/>
          <w:sz w:val="24"/>
          <w:szCs w:val="24"/>
        </w:rPr>
      </w:pPr>
      <w:r>
        <w:rPr>
          <w:rFonts w:eastAsia="Arial" w:cs="Arial"/>
          <w:sz w:val="24"/>
          <w:szCs w:val="24"/>
        </w:rPr>
        <w:t>Per tutti i datori di lavoro sopracitati svolgeva regolarmente le visite di sorveglianza sanitaria, per cui porta in visione i giudizi di idoneità, di cui l’ultimo datato 13/12/2024, nel quale non sono specificati i rischi a cui il lavoratore era esposto e si limita a riportare il seguente giudizio: idoneo con prescrizioni, utilizzo di otoprotettori se rumore &gt;80db(A).</w:t>
      </w:r>
    </w:p>
    <w:p>
      <w:pPr>
        <w:pStyle w:val="Titolo1"/>
        <w:jc w:val="both"/>
        <w:rPr>
          <w:rFonts w:ascii="Calibri" w:hAnsi="Calibri"/>
          <w:sz w:val="24"/>
          <w:szCs w:val="24"/>
        </w:rPr>
      </w:pPr>
      <w:bookmarkStart w:id="2" w:name="_heading=h.1fob9te"/>
      <w:bookmarkEnd w:id="2"/>
      <w:r>
        <w:rPr>
          <w:rFonts w:eastAsia="Arial" w:cs="Arial" w:ascii="Calibri" w:hAnsi="Calibri"/>
          <w:b/>
          <w:sz w:val="24"/>
          <w:szCs w:val="24"/>
        </w:rPr>
        <w:t>ANAMNESI FAMILIARE</w:t>
      </w:r>
    </w:p>
    <w:p>
      <w:pPr>
        <w:pStyle w:val="Normal"/>
        <w:jc w:val="both"/>
        <w:rPr>
          <w:rFonts w:ascii="Calibri" w:hAnsi="Calibri"/>
          <w:sz w:val="24"/>
          <w:szCs w:val="24"/>
        </w:rPr>
      </w:pPr>
      <w:r>
        <w:rPr>
          <w:rFonts w:eastAsia="Arial" w:cs="Arial"/>
          <w:sz w:val="24"/>
          <w:szCs w:val="24"/>
        </w:rPr>
        <w:t>Madre deceduta a 105 anni per senectus, prima riferita in buona salute. Padre deceduto a 90 anni per senectus, prima riferito in buona salute. Un fratello deceduto per tumore ndd. Quattro figli riferiti in buona salute. Nega familiarità di patologie osteo-muscolari, con particolare riferimento ad ernie del rachide.</w:t>
      </w:r>
    </w:p>
    <w:p>
      <w:pPr>
        <w:pStyle w:val="Titolo1"/>
        <w:jc w:val="both"/>
        <w:rPr>
          <w:rFonts w:ascii="Calibri" w:hAnsi="Calibri"/>
          <w:sz w:val="24"/>
          <w:szCs w:val="24"/>
        </w:rPr>
      </w:pPr>
      <w:bookmarkStart w:id="3" w:name="_heading=h.3znysh7"/>
      <w:bookmarkEnd w:id="3"/>
      <w:r>
        <w:rPr>
          <w:rFonts w:eastAsia="Arial" w:cs="Arial" w:ascii="Calibri" w:hAnsi="Calibri"/>
          <w:b/>
          <w:sz w:val="24"/>
          <w:szCs w:val="24"/>
        </w:rPr>
        <w:t>ANAMNESI FISIOLOGICA</w:t>
      </w:r>
    </w:p>
    <w:p>
      <w:pPr>
        <w:pStyle w:val="Normal"/>
        <w:jc w:val="both"/>
        <w:rPr>
          <w:rFonts w:ascii="Calibri" w:hAnsi="Calibri"/>
          <w:sz w:val="24"/>
          <w:szCs w:val="24"/>
        </w:rPr>
      </w:pPr>
      <w:r>
        <w:rPr>
          <w:rFonts w:eastAsia="Arial" w:cs="Arial"/>
          <w:color w:val="000000"/>
          <w:sz w:val="24"/>
          <w:szCs w:val="24"/>
        </w:rPr>
        <w:t>Nato a termine da parto eutocico, regolare sviluppo psicofisico. Titolo di studio diploma superiore. Ha svolto servizio di leva nel 1981-1983. Dieta libera e varia, appetito e digestione regolari, alvo e diuresi nella norma, ritmo sonno-veglia conservato. Riferisce di praticare corsa circa 1 ora al giorno. Non fumatore. Riferisce assunzione saltuaria di alcolici. Nega assunzione abituale di farmaci. Nega allergie note.</w:t>
      </w:r>
    </w:p>
    <w:p>
      <w:pPr>
        <w:pStyle w:val="Titolo1"/>
        <w:jc w:val="both"/>
        <w:rPr>
          <w:rFonts w:ascii="Calibri" w:hAnsi="Calibri" w:eastAsia="Arial" w:cs="Arial"/>
          <w:color w:val="000000"/>
          <w:kern w:val="0"/>
          <w:sz w:val="24"/>
          <w:szCs w:val="24"/>
          <w:lang w:val="it-IT" w:eastAsia="zh-CN" w:bidi="hi-IN"/>
        </w:rPr>
      </w:pPr>
      <w:bookmarkStart w:id="4" w:name="_heading=h.2et92p0"/>
      <w:bookmarkEnd w:id="4"/>
      <w:r>
        <w:rPr>
          <w:rFonts w:eastAsia="Arial" w:cs="Arial" w:ascii="Calibri" w:hAnsi="Calibri"/>
          <w:b/>
          <w:color w:val="000000"/>
          <w:kern w:val="0"/>
          <w:sz w:val="24"/>
          <w:szCs w:val="24"/>
          <w:lang w:val="it-IT" w:eastAsia="zh-CN" w:bidi="hi-IN"/>
        </w:rPr>
        <w:t>ANAMNESI PATOLOGICA REMOTA</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 xml:space="preserve">Appendicectomia nel 1998. </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Infortuni sul lavoro: frattura della falange distale terzo dito di entrambe le mani.</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Nega ricoveri ospedalieri, altri interventi chirurgici e diagnosi di patologie di rilievo.</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Nega riconoscimento di invalidità civile.</w:t>
      </w:r>
    </w:p>
    <w:p>
      <w:pPr>
        <w:pStyle w:val="Titolo1"/>
        <w:jc w:val="both"/>
        <w:rPr>
          <w:rFonts w:ascii="Calibri" w:hAnsi="Calibri" w:eastAsia="Arial" w:cs="Arial"/>
          <w:color w:val="000000"/>
          <w:kern w:val="0"/>
          <w:sz w:val="24"/>
          <w:szCs w:val="24"/>
          <w:lang w:val="it-IT" w:eastAsia="zh-CN" w:bidi="hi-IN"/>
        </w:rPr>
      </w:pPr>
      <w:bookmarkStart w:id="5" w:name="_heading=h.tyjcwt"/>
      <w:bookmarkEnd w:id="5"/>
      <w:r>
        <w:rPr>
          <w:rFonts w:eastAsia="Arial" w:cs="Arial" w:ascii="Calibri" w:hAnsi="Calibri"/>
          <w:b/>
          <w:color w:val="000000"/>
          <w:kern w:val="0"/>
          <w:sz w:val="24"/>
          <w:szCs w:val="24"/>
          <w:lang w:val="it-IT" w:eastAsia="zh-CN" w:bidi="hi-IN"/>
        </w:rPr>
        <w:t>ANAMNESI PATOLOGICA PROSSIMA</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 xml:space="preserve">In merito al rachide lombare: riferisce lombalgia ingravescente dal 2015, inizialmente gestita con FANS al bisogno. Gli approfondimenti diagnostici successivi hanno documentato un quadro di spondilodiscopatia del rachide lombare, trattata con cicli di FKT con solo parziale beneficio. </w:t>
      </w:r>
    </w:p>
    <w:p>
      <w:pPr>
        <w:pStyle w:val="Normal"/>
        <w:bidi w:val="0"/>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 xml:space="preserve">Attualmente permangono lombosciatalgia cronica con irradiazione a sinistra e cruralgia. Nel 2025, il quadro clinico ha presentato un'acutizzazione con blocco antalgico acuto, che ha reso necessario il ricorso a terapia infiltrativa. </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 xml:space="preserve">Per la patologia in esame ha eseguito i seguenti accertamenti: </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- 15/12/2017 RX colonna lombare che riporta: “Scoliosi sinistro-convessa lombare con rotazione dei metameri. Rettificata la lordosi fisiologica lombare. Piccoli appuntimenti osteofitosici somato-marginali anteriori. Ridotto lo spazio discale L5-S1 [...]”;</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- 16/01/2018 RM rachide lombosacrale, che evidenzia: “Alterazioni spondilosiche a livello L5-S1 con disco interposto discretamente assottigliato ipointenso per fatti disordini di idratazione diffusamente protrudente con maggiore salienza paramediana laterale sinistra. Discretamente protrudente anche il disco L4-5 con presenza di ernia a larga base sottolegamentosa latero foraminale sn che esercita importa sulla tasca radicolare. Non altre protrusioni discali di rilievo. [...]”</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-19/02/2021 RX colonna lombosacrale che riporta: “Scoliosi SX-convessa del rachide lombare; sostanzialmente conservata la fisiologica lordosi. Verosimile metamero di transizione al passaggio lombo-sacrale denominato S1. Discrete manifestazioni spondilo-artrosiche e di artrosi interapofisaria con discopatia allo spazio intersomatico L5-S1.”;</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-23/03/2021 Visita fisiatrica: “[...] Lombalgia in degenerazione spondilodiscoartrosica. Progetto raibilitativo: ciclo di rieducazione funzionale del rachide lombare e taping [...]”</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 xml:space="preserve">- 07/01/2026 RM Rachide lombare, che riporta: “[...] Riduzione della lordosi lombare. Lieve scoliosi </w:t>
      </w:r>
      <w:r>
        <w:rPr>
          <w:rFonts w:eastAsia="Arial" w:cs="Arial"/>
          <w:color w:val="000000"/>
          <w:kern w:val="0"/>
          <w:sz w:val="24"/>
          <w:szCs w:val="24"/>
          <w:shd w:fill="auto" w:val="clear"/>
          <w:lang w:val="it-IT" w:eastAsia="zh-CN" w:bidi="hi-IN"/>
        </w:rPr>
        <w:t>lombare sinistro-convessa. Un po' più evidenti gli iniziali segni di spondiloartrosi con osteofitosi margino-somatica e ipertrofia dei massicci articolari posteriori. [...] In L2-L3: bulging discale posteriore. In L4-L5: protrusione discale ad ampio raggio con lieve impegno foraminale bilaterale, leggermente maggiore a sinistra ove si rileva lieve contatto con la radice emergente di L4. In L5-S1: un po' più evidente l'ernia discale paramediana sini con impegno foraminale e contatto con la radice emergente di L5.”;</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In merito alle spalle: c</w:t>
      </w:r>
      <w:r>
        <w:rPr>
          <w:rFonts w:eastAsia="Arial" w:cs="Arial"/>
          <w:color w:val="000000"/>
          <w:kern w:val="0"/>
          <w:sz w:val="24"/>
          <w:szCs w:val="24"/>
          <w:shd w:fill="auto" w:val="clear"/>
          <w:lang w:val="it-IT" w:eastAsia="zh-CN" w:bidi="hi-IN"/>
        </w:rPr>
        <w:t xml:space="preserve">omparsa di omalgia destra a partire dal 2015 a carattere ingravescente, come documentano gli accertamenti specialistici che il lavoratore ha eseguito a partire da tale anno. Omalgia bilateralizzata dal 2024 circa. Ha eseguito ripetuti cicli di infiltrazioni cortisoniche e FKT ad entrambe le spalle, con scarso beneficio. Attualmente riferisce algie più marcate alla spalla sinistra con riscontro all'ultima RM (07/01/2026) di lesione del tendine sovraspinato a sinistra e lesioni dei tendini sovraspinato e sottoscapolare a destra; al recente controllo ortopedico del 13/01/26 è stata posta indicazione ad intervento di acromioplastica artroscopica. </w:t>
      </w:r>
    </w:p>
    <w:p>
      <w:pPr>
        <w:pStyle w:val="Normal"/>
        <w:jc w:val="both"/>
        <w:rPr>
          <w:rFonts w:ascii="Calibri" w:hAnsi="Calibri" w:eastAsia="Arial" w:cs="Arial"/>
          <w:color w:val="000000"/>
          <w:kern w:val="0"/>
          <w:sz w:val="24"/>
          <w:szCs w:val="24"/>
          <w:shd w:fill="auto" w:val="clear"/>
          <w:lang w:val="it-IT" w:eastAsia="zh-CN" w:bidi="hi-IN"/>
        </w:rPr>
      </w:pPr>
      <w:r>
        <w:rPr>
          <w:rFonts w:eastAsia="Arial" w:cs="Arial"/>
          <w:color w:val="000000"/>
          <w:kern w:val="0"/>
          <w:sz w:val="24"/>
          <w:szCs w:val="24"/>
          <w:shd w:fill="auto" w:val="clear"/>
          <w:lang w:val="it-IT" w:eastAsia="zh-CN" w:bidi="hi-IN"/>
        </w:rPr>
      </w:r>
    </w:p>
    <w:p>
      <w:pPr>
        <w:pStyle w:val="Normal"/>
        <w:jc w:val="both"/>
        <w:rPr>
          <w:shd w:fill="auto" w:val="clear"/>
        </w:rPr>
      </w:pPr>
      <w:r>
        <w:rPr>
          <w:rFonts w:eastAsia="Arial" w:cs="Arial"/>
          <w:color w:val="000000"/>
          <w:kern w:val="0"/>
          <w:sz w:val="24"/>
          <w:szCs w:val="24"/>
          <w:shd w:fill="auto" w:val="clear"/>
          <w:lang w:val="it-IT" w:eastAsia="zh-CN" w:bidi="hi-IN"/>
        </w:rPr>
        <w:t>Per la patologia in esame ha eseguito i seguenti accertamenti:</w:t>
      </w:r>
    </w:p>
    <w:p>
      <w:pPr>
        <w:pStyle w:val="Normal"/>
        <w:jc w:val="both"/>
        <w:rPr>
          <w:shd w:fill="auto" w:val="clear"/>
        </w:rPr>
      </w:pPr>
      <w:r>
        <w:rPr>
          <w:rFonts w:eastAsia="Arial" w:cs="Arial"/>
          <w:color w:val="000000"/>
          <w:kern w:val="0"/>
          <w:sz w:val="24"/>
          <w:szCs w:val="24"/>
          <w:shd w:fill="auto" w:val="clear"/>
          <w:lang w:val="it-IT" w:eastAsia="zh-CN" w:bidi="hi-IN"/>
        </w:rPr>
        <w:t xml:space="preserve">-12/03/2015: RX spalla dx, che riporta: “[…] Contro il profilo della parte alta del trochite si proietta immagine di tinta calcifica delle dimensioni di circa un chicco di riso.”; </w:t>
      </w:r>
    </w:p>
    <w:p>
      <w:pPr>
        <w:pStyle w:val="Normal"/>
        <w:jc w:val="both"/>
        <w:rPr>
          <w:shd w:fill="auto" w:val="clear"/>
        </w:rPr>
      </w:pPr>
      <w:r>
        <w:rPr>
          <w:rFonts w:eastAsia="Arial" w:cs="Arial"/>
          <w:color w:val="000000"/>
          <w:kern w:val="0"/>
          <w:sz w:val="24"/>
          <w:szCs w:val="24"/>
          <w:shd w:fill="auto" w:val="clear"/>
          <w:lang w:val="it-IT" w:eastAsia="zh-CN" w:bidi="hi-IN"/>
        </w:rPr>
        <w:t>-13/09/2016 RM spalla dx, che riporta: “Alterazione strutturale a carattere degenerativo a carico del tendine dell'infraspinato con presenza di piccola calcificazione a livello dell'inserzione omerale ove si associano tenui aspetti di iperintensità di segnale per edema della spongiosa ossea sottocorticale. [...]”;</w:t>
      </w:r>
    </w:p>
    <w:p>
      <w:pPr>
        <w:pStyle w:val="Normal"/>
        <w:jc w:val="both"/>
        <w:rPr>
          <w:shd w:fill="auto" w:val="clear"/>
        </w:rPr>
      </w:pPr>
      <w:r>
        <w:rPr>
          <w:rFonts w:eastAsia="Arial" w:cs="Arial"/>
          <w:color w:val="000000"/>
          <w:kern w:val="0"/>
          <w:sz w:val="24"/>
          <w:szCs w:val="24"/>
          <w:shd w:fill="auto" w:val="clear"/>
          <w:lang w:val="it-IT" w:eastAsia="zh-CN" w:bidi="hi-IN"/>
        </w:rPr>
        <w:t>-17/04/2024 RX spalla dx, che evidenzia: “Microcalcificazioni dei tessuti molli in prossimità del trochite omerale. Ridotto lo spazio subacromiale. Lieve diastasi dell’articolazione acromion-claveare (5mm) con iniziale sviluppo osteofitario.”</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shd w:fill="auto" w:val="clear"/>
          <w:lang w:val="it-IT" w:eastAsia="zh-CN" w:bidi="hi-IN"/>
        </w:rPr>
        <w:t>- 22/05/2024 Visita ortopedic</w:t>
      </w:r>
      <w:r>
        <w:rPr>
          <w:rFonts w:eastAsia="Arial" w:cs="Arial"/>
          <w:color w:val="000000"/>
          <w:kern w:val="0"/>
          <w:sz w:val="24"/>
          <w:szCs w:val="24"/>
          <w:lang w:val="it-IT" w:eastAsia="zh-CN" w:bidi="hi-IN"/>
        </w:rPr>
        <w:t>a: “cervicoartrosi periartrite calcifica spalla destra &gt; di sinistra. Non ha indicazioni operatorie. […]” indicata FKT con ciclo di 10 laserterapia e 10 jonoforesi alle spalle; ciclo di infiltrazioni cortisoniche (1-3).</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-16/07/2024 Visita fisiatrica: consigliate laser terapia e rieducazione funzionale delle spalle bilateralmente;</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-18/11/2024 Studio neurofisiologico, che conclude: “L'attuale esame neurofisiologico evidenzia segni di neuropatia distale (al polso) di alcune fibre sensitive del n. mediano dx nel solo tratto I dito-polso (lieve snd del tunnel carpale dx solo sensitiva) e lievi segni di sofferenza neurogena di a</w:t>
      </w:r>
      <w:r>
        <w:rPr>
          <w:rFonts w:eastAsia="Arial" w:cs="Arial"/>
          <w:color w:val="000000"/>
          <w:kern w:val="0"/>
          <w:sz w:val="24"/>
          <w:szCs w:val="24"/>
          <w:shd w:fill="auto" w:val="clear"/>
          <w:lang w:val="it-IT" w:eastAsia="zh-CN" w:bidi="hi-IN"/>
        </w:rPr>
        <w:t>spetto cronico in territorio radicolare C8-T1 dx.”;</w:t>
      </w:r>
    </w:p>
    <w:p>
      <w:pPr>
        <w:pStyle w:val="Normal"/>
        <w:jc w:val="both"/>
        <w:rPr>
          <w:shd w:fill="auto" w:val="clear"/>
        </w:rPr>
      </w:pPr>
      <w:r>
        <w:rPr>
          <w:rFonts w:eastAsia="Arial" w:cs="Arial"/>
          <w:color w:val="000000"/>
          <w:kern w:val="0"/>
          <w:sz w:val="24"/>
          <w:szCs w:val="24"/>
          <w:shd w:fill="auto" w:val="clear"/>
          <w:lang w:val="it-IT" w:eastAsia="zh-CN" w:bidi="hi-IN"/>
        </w:rPr>
        <w:t>-09/12/2024 Eco Spalla bilaterale, che evidenzia alla spalla destra: “Nei limiti il tendine del capolungo del bicipite che risulta normo allongato. Non alterazioni di rilievo a carico dei tendini della cuffia dei rotatori e della capsula acromion-claverare. Micro-calcificazioni raggruppate in aree di 7 mm in sede inserzionale-preinserzionale del sovraspinato. [..]” Spalla sn: “Nei limiti il tendine del capolungo del bicipite che risulta normo allongato. Non alterazioni di rilievo a carico dei tendini della cuffia dei rotatori e della capsula acromion-claverare. Non distensione della borsa subacromion-deltoidea.”</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- 11/04/2025 Visita ortopedica che consiglia corsetto con ciclo di 6 infiltrazioni cortisoniche;</w:t>
      </w:r>
    </w:p>
    <w:p>
      <w:pPr>
        <w:pStyle w:val="Normal"/>
        <w:bidi w:val="0"/>
        <w:jc w:val="both"/>
        <w:rPr>
          <w:rFonts w:ascii="Calibri" w:hAnsi="Calibri" w:eastAsia="Arial" w:cs="Arial"/>
          <w:color w:val="000000"/>
          <w:kern w:val="0"/>
          <w:sz w:val="24"/>
          <w:szCs w:val="24"/>
          <w:lang w:val="it-IT" w:eastAsia="zh-CN" w:bidi="hi-IN"/>
        </w:rPr>
      </w:pPr>
      <w:r>
        <w:rPr>
          <w:rFonts w:eastAsia="Arial" w:cs="Arial"/>
          <w:color w:val="000000"/>
          <w:kern w:val="0"/>
          <w:sz w:val="24"/>
          <w:szCs w:val="24"/>
          <w:shd w:fill="auto" w:val="clear"/>
          <w:lang w:val="it-IT" w:eastAsia="zh-CN" w:bidi="hi-IN"/>
        </w:rPr>
        <w:t>- 07/01/2026 RM</w:t>
      </w:r>
      <w:r>
        <w:rPr>
          <w:rFonts w:eastAsia="Arial" w:cs="Arial"/>
          <w:color w:val="000000"/>
          <w:kern w:val="0"/>
          <w:sz w:val="24"/>
          <w:szCs w:val="24"/>
          <w:lang w:val="it-IT" w:eastAsia="zh-CN" w:bidi="hi-IN"/>
        </w:rPr>
        <w:t xml:space="preserve"> spalle bilaterale, che riporta: Spalla dx “Lieve borsite SAD reattiva. Sottile fissurazione a pieno spessore, di 10 x 4 mm, del versante posteriore inserzionale del tendine sovraspinato; tendine non retratto; buono il trofismo muscolare. Nella norma le restanti strutture tendinee della cuffia dei rotatori [..] Artrosi acromion-claveare con lieve osteofitosi inferiore.”</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Spalla sinistra: “Assente versamento articolare gleno-omerale o borsiti. Lieve borsite SAD reattiva. Lesione a pieno spessore di 15 x 12 mm del versante anteriore del tendine sovraspinato che appare parzialmente retratto verso l'articolazione acromion-claveare; buon trofismo muscolare residuo. Lesione parziale del III superiore del tendine sottoscapolare. Nella norma le restanti strutture tendinee della cuffia dei rotatori [..] Artrosi acromion-claveare con osteofitosi inferiore e lieve falda di versamento articolare.”.</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r>
    </w:p>
    <w:p>
      <w:pPr>
        <w:pStyle w:val="Titolo1"/>
        <w:jc w:val="both"/>
        <w:rPr>
          <w:rFonts w:ascii="Calibri" w:hAnsi="Calibri" w:eastAsia="Arial" w:cs="Arial"/>
          <w:color w:val="000000"/>
          <w:kern w:val="0"/>
          <w:sz w:val="24"/>
          <w:szCs w:val="24"/>
          <w:lang w:val="it-IT" w:eastAsia="zh-CN" w:bidi="hi-IN"/>
        </w:rPr>
      </w:pPr>
      <w:bookmarkStart w:id="6" w:name="_heading=h.3dy6vkm"/>
      <w:bookmarkEnd w:id="6"/>
      <w:r>
        <w:rPr>
          <w:rFonts w:eastAsia="Arial" w:cs="Arial" w:ascii="Calibri" w:hAnsi="Calibri"/>
          <w:b/>
          <w:color w:val="000000"/>
          <w:kern w:val="0"/>
          <w:sz w:val="24"/>
          <w:szCs w:val="24"/>
          <w:lang w:val="it-IT" w:eastAsia="zh-CN" w:bidi="hi-IN"/>
        </w:rPr>
        <w:t>ESAME OBIETTIVO</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Condizioni generali buone. Altezza 173 cm; peso 83 kg ; BMI 27,7 kg/m</w:t>
      </w:r>
      <w:r>
        <w:rPr>
          <w:rFonts w:eastAsia="Arial" w:cs="Arial"/>
          <w:color w:val="000000"/>
          <w:kern w:val="0"/>
          <w:sz w:val="24"/>
          <w:szCs w:val="24"/>
          <w:vertAlign w:val="superscript"/>
          <w:lang w:val="it-IT" w:eastAsia="zh-CN" w:bidi="hi-IN"/>
        </w:rPr>
        <w:t>2</w:t>
      </w:r>
      <w:r>
        <w:rPr>
          <w:rFonts w:eastAsia="Arial" w:cs="Arial"/>
          <w:color w:val="000000"/>
          <w:kern w:val="0"/>
          <w:sz w:val="24"/>
          <w:szCs w:val="24"/>
          <w:lang w:val="it-IT" w:eastAsia="zh-CN" w:bidi="hi-IN"/>
        </w:rPr>
        <w:t xml:space="preserve">. Destrimane. </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Cute: esiti cicatriziali per rimozione cisti in sede dorsale a destra.</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 xml:space="preserve">Torace: paziente eupnoico in AA, simmetrico, FVT normotrasmesso su TAP, basi mobili e simmetriche. MV presente e normoudibile su TAP, non rumori patologici. </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Cuore: toni validi, ritmici, pause apparentemente libere. PAO 140/90 mmHg; FC 71 bpm.</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Addome: piano; trattabile, non dolente alla palpazione superficiale e profonda; non organomegalie apprezzabili. Peristalsi presente e valida.</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Rachide: regolari curve fisiologiche. Pressopalpazione delle apofisi spinose dolente al passaggio dorso lombare e contrattura della muscolatura paravertebrale destra contestuale. Segno di Lasegue positivo a destra a 70 gradi, positivo a sinistra a 50 gradi. Flessione, inclinazione laterale e rotazione limitate ai primi gradi. Ritmo lombopelvico conservato. Possibile la marcia su</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 xml:space="preserve">Spalla: ispezione negativa. Dolorabilità alla palpazione a sinistra. Abduzione limitata ai 110° bilateralmente. Flessione anteriore a 90 gradi bilaterale.  Intra ed extra rotazione limitate bilateralmente ai gradi medi. Test di Jobe positivo sinistra, lievemente positivo a destra. Lift off positivo a sn.Forza solo parzialmente conservata bilateralmente. </w:t>
      </w:r>
    </w:p>
    <w:p>
      <w:pPr>
        <w:pStyle w:val="Titolo1"/>
        <w:jc w:val="both"/>
        <w:rPr>
          <w:rFonts w:ascii="Calibri" w:hAnsi="Calibri" w:eastAsia="Arial" w:cs="Arial"/>
          <w:color w:val="000000"/>
          <w:kern w:val="0"/>
          <w:sz w:val="24"/>
          <w:szCs w:val="24"/>
          <w:lang w:val="it-IT" w:eastAsia="zh-CN" w:bidi="hi-IN"/>
        </w:rPr>
      </w:pPr>
      <w:bookmarkStart w:id="7" w:name="_heading=h.1t3h5sf"/>
      <w:bookmarkEnd w:id="7"/>
      <w:r>
        <w:rPr>
          <w:rFonts w:eastAsia="Arial" w:cs="Arial" w:ascii="Calibri" w:hAnsi="Calibri"/>
          <w:b/>
          <w:color w:val="000000"/>
          <w:kern w:val="0"/>
          <w:sz w:val="24"/>
          <w:szCs w:val="24"/>
          <w:lang w:val="it-IT" w:eastAsia="zh-CN" w:bidi="hi-IN"/>
        </w:rPr>
        <w:t>CONCLUSIONI</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Il Signor Troka Brahim, di anni 62, ha lavorato per 29 anni come muratore operando nel settore edile delle nuove costruzioni, ristrutturazioni e demolizioni di edilizia civile, ed è stato verosimilmente sottoposto ai rischi di movimentazione manuale dei carichi (MMC) e sovraccarico biomeccanico degli arti superiori.</w:t>
      </w:r>
    </w:p>
    <w:p>
      <w:pPr>
        <w:pStyle w:val="Corpodeltesto"/>
        <w:jc w:val="both"/>
        <w:rPr/>
      </w:pPr>
      <w:r>
        <w:rPr>
          <w:rFonts w:eastAsia="Arial" w:cs="Arial"/>
          <w:color w:val="000000"/>
          <w:kern w:val="0"/>
          <w:sz w:val="24"/>
          <w:szCs w:val="24"/>
          <w:lang w:val="it-IT" w:eastAsia="zh-CN" w:bidi="hi-IN"/>
        </w:rPr>
        <w:t xml:space="preserve">Le mansioni svolte dal lavoratore risultano infatti sovrapponibili agli scenari descritti nelle </w:t>
      </w:r>
      <w:r>
        <w:rPr>
          <w:rStyle w:val="Enfasiforte"/>
          <w:rFonts w:eastAsia="Arial" w:cs="Arial"/>
          <w:b w:val="false"/>
          <w:bCs w:val="false"/>
          <w:color w:val="000000"/>
          <w:kern w:val="0"/>
          <w:sz w:val="24"/>
          <w:szCs w:val="24"/>
          <w:lang w:val="it-IT" w:eastAsia="zh-CN" w:bidi="hi-IN"/>
        </w:rPr>
        <w:t>schede di rischio riportate nel documento INAIL “Il sovraccarico biomeccanico della colonna vertebrale nel settore edile: schede di rischio per mansione, per settore produttivo e per singoli compiti lavorativi”</w:t>
      </w:r>
      <w:r>
        <w:rPr>
          <w:rFonts w:eastAsia="Arial" w:cs="Arial"/>
          <w:color w:val="000000"/>
          <w:kern w:val="0"/>
          <w:sz w:val="24"/>
          <w:szCs w:val="24"/>
          <w:lang w:val="it-IT" w:eastAsia="zh-CN" w:bidi="hi-IN"/>
        </w:rPr>
        <w:t xml:space="preserve">, ediz. 2013, </w:t>
      </w:r>
      <w:r>
        <w:rPr>
          <w:rStyle w:val="Enfasiforte"/>
          <w:rFonts w:eastAsia="Arial" w:cs="Arial"/>
          <w:b w:val="false"/>
          <w:bCs w:val="false"/>
          <w:color w:val="000000"/>
          <w:kern w:val="0"/>
          <w:sz w:val="24"/>
          <w:szCs w:val="24"/>
          <w:lang w:val="it-IT" w:eastAsia="zh-CN" w:bidi="hi-IN"/>
        </w:rPr>
        <w:t xml:space="preserve">con particolare riferimento alle schede alle pagine 22, 24, 64, 66, 70. </w:t>
      </w:r>
      <w:r>
        <w:rPr>
          <w:rFonts w:eastAsia="Arial" w:cs="Arial"/>
          <w:color w:val="000000"/>
          <w:kern w:val="0"/>
          <w:sz w:val="24"/>
          <w:szCs w:val="24"/>
          <w:lang w:val="it-IT" w:eastAsia="zh-CN" w:bidi="hi-IN"/>
        </w:rPr>
        <w:t xml:space="preserve">I dati documentano che mediamente un muratore è esposto ad attività che sovraccaricano la colonna vertebrale per oltre 6 ore al giorno, specialmente per il settore delle ristrutturazioni (settore al quale il sig. Troka è addetto dal 2001). Tale settore in particolare risulta caratterizzato da elevata percentuale di compiti con geometrie di movimentazione in area critica, per cui l’esposizione al rischio MMC è presente nel 96 % delle giornate analizzate ed è elevato nel 50 % di esse. Alla luce di ciò, si rileva </w:t>
      </w:r>
      <w:r>
        <w:rPr>
          <w:rStyle w:val="Enfasiforte"/>
          <w:rFonts w:eastAsia="Arial" w:cs="Arial"/>
          <w:b w:val="false"/>
          <w:bCs w:val="false"/>
          <w:color w:val="000000"/>
          <w:kern w:val="0"/>
          <w:sz w:val="24"/>
          <w:szCs w:val="24"/>
          <w:lang w:val="it-IT" w:eastAsia="zh-CN" w:bidi="hi-IN"/>
        </w:rPr>
        <w:t>compatibilità eziopatogenetica</w:t>
      </w:r>
      <w:r>
        <w:rPr>
          <w:rFonts w:eastAsia="Arial" w:cs="Arial"/>
          <w:color w:val="000000"/>
          <w:kern w:val="0"/>
          <w:sz w:val="24"/>
          <w:szCs w:val="24"/>
          <w:lang w:val="it-IT" w:eastAsia="zh-CN" w:bidi="hi-IN"/>
        </w:rPr>
        <w:t xml:space="preserve"> tra l’attività lavorativa svolta e la patologia riscontrata a carico del rachide vertebrale. Inoltre, dalla ricostruzione anamnestica, l’attività lavorativa del sig. Troka appare caratterizzata da esposizione a rischio di sovraccarico biomeccanico degli arti superiori per l’esecuzione di movimenti ripetitivi,  il </w:t>
      </w:r>
      <w:r>
        <w:rPr>
          <w:rFonts w:eastAsia="Arial" w:cs="Arial"/>
          <w:b w:val="false"/>
          <w:i w:val="false"/>
          <w:caps w:val="false"/>
          <w:smallCaps w:val="false"/>
          <w:color w:val="000000"/>
          <w:spacing w:val="0"/>
          <w:kern w:val="0"/>
          <w:sz w:val="24"/>
          <w:szCs w:val="24"/>
          <w:lang w:val="it-IT" w:eastAsia="zh-CN" w:bidi="hi-IN"/>
        </w:rPr>
        <w:t xml:space="preserve">mantenimento </w:t>
      </w:r>
      <w:r>
        <w:rPr>
          <w:rStyle w:val="Enfasiforte"/>
          <w:rFonts w:eastAsia="Arial" w:cs="Arial"/>
          <w:b w:val="false"/>
          <w:bCs w:val="false"/>
          <w:i w:val="false"/>
          <w:caps w:val="false"/>
          <w:smallCaps w:val="false"/>
          <w:color w:val="000000"/>
          <w:spacing w:val="0"/>
          <w:kern w:val="0"/>
          <w:sz w:val="24"/>
          <w:szCs w:val="24"/>
          <w:lang w:val="it-IT" w:eastAsia="zh-CN" w:bidi="hi-IN"/>
        </w:rPr>
        <w:t>prolungato di posture incongrue (specialmente durante attività di intonacatura e muratura), e l’utilizzo ricorrente di  utensili manuali come demolitori.</w:t>
      </w:r>
    </w:p>
    <w:p>
      <w:pPr>
        <w:pStyle w:val="Corpodeltesto"/>
        <w:jc w:val="both"/>
        <w:rPr/>
      </w:pPr>
      <w:r>
        <w:rPr>
          <w:rStyle w:val="Enfasiforte"/>
          <w:rFonts w:eastAsia="Arial" w:cs="Arial"/>
          <w:b w:val="false"/>
          <w:bCs w:val="false"/>
          <w:color w:val="000000"/>
          <w:kern w:val="0"/>
          <w:sz w:val="24"/>
          <w:szCs w:val="24"/>
          <w:lang w:val="it-IT" w:eastAsia="zh-CN" w:bidi="hi-IN"/>
        </w:rPr>
        <w:t>Pertanto, considerata la durata pluridecennale dell’esposizione, la coerenza tra mansioni svolte e fattori di rischio descritti nelle schede tecniche e l’assenza di elementi anamnestici extralavorativi di rilievo, riteniamo che l’intensità e la durata di esposizione ai rischi sopracitati, nonché la cronologia di comparsa delle lesioni a carico del rachide e delle spalle, risultino compatibili con l’eziologia professionale.</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 xml:space="preserve">Concludiamo pertanto con la seguente diagnosi: </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w:t>
      </w:r>
      <w:r>
        <w:rPr>
          <w:rFonts w:eastAsia="Arial" w:cs="Arial"/>
          <w:color w:val="000000"/>
          <w:kern w:val="0"/>
          <w:sz w:val="24"/>
          <w:szCs w:val="24"/>
          <w:lang w:val="it-IT" w:eastAsia="zh-CN" w:bidi="hi-IN"/>
        </w:rPr>
        <w:t>Spondilodiscopatia multisegmentaria del rachide lombare con ernia discale” compatibile con l’origine professionale.</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w:t>
      </w:r>
      <w:r>
        <w:rPr>
          <w:rFonts w:eastAsia="Arial" w:cs="Arial"/>
          <w:color w:val="000000"/>
          <w:kern w:val="0"/>
          <w:sz w:val="24"/>
          <w:szCs w:val="24"/>
          <w:lang w:val="it-IT" w:eastAsia="zh-CN" w:bidi="hi-IN"/>
        </w:rPr>
        <w:t xml:space="preserve">Tendinopatia della cuffia dei rotatori bilaterale, con lesione del tendine sovraspinato a </w:t>
      </w:r>
      <w:r>
        <w:rPr>
          <w:rFonts w:eastAsia="Arial" w:cs="Arial"/>
          <w:color w:val="000000"/>
          <w:kern w:val="0"/>
          <w:sz w:val="24"/>
          <w:szCs w:val="24"/>
          <w:lang w:val="it-IT" w:eastAsia="zh-CN" w:bidi="hi-IN"/>
        </w:rPr>
        <w:t>destra</w:t>
      </w:r>
      <w:r>
        <w:rPr>
          <w:rFonts w:eastAsia="Arial" w:cs="Arial"/>
          <w:color w:val="000000"/>
          <w:kern w:val="0"/>
          <w:sz w:val="24"/>
          <w:szCs w:val="24"/>
          <w:lang w:val="it-IT" w:eastAsia="zh-CN" w:bidi="hi-IN"/>
        </w:rPr>
        <w:t xml:space="preserve"> e lesioni dei tendini sovraspinato e sottoscapolare a </w:t>
      </w:r>
      <w:r>
        <w:rPr>
          <w:rFonts w:eastAsia="Arial" w:cs="Arial"/>
          <w:color w:val="000000"/>
          <w:kern w:val="0"/>
          <w:sz w:val="24"/>
          <w:szCs w:val="24"/>
          <w:lang w:val="it-IT" w:eastAsia="zh-CN" w:bidi="hi-IN"/>
        </w:rPr>
        <w:t>sinistra</w:t>
      </w:r>
      <w:r>
        <w:rPr>
          <w:rFonts w:eastAsia="Arial" w:cs="Arial"/>
          <w:color w:val="000000"/>
          <w:kern w:val="0"/>
          <w:sz w:val="24"/>
          <w:szCs w:val="24"/>
          <w:lang w:val="it-IT" w:eastAsia="zh-CN" w:bidi="hi-IN"/>
        </w:rPr>
        <w:t>, compatibili con l’origine professionale.</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br/>
        <w:t xml:space="preserve">Nel rimanere a disposizione per ogni chiarimento in merito, inviamo cordiali saluti. </w:t>
      </w:r>
    </w:p>
    <w:p>
      <w:pPr>
        <w:pStyle w:val="Normal"/>
        <w:jc w:val="both"/>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r>
    </w:p>
    <w:p>
      <w:pPr>
        <w:pStyle w:val="Normal"/>
        <w:jc w:val="right"/>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r>
    </w:p>
    <w:p>
      <w:pPr>
        <w:pStyle w:val="Normal"/>
        <w:jc w:val="right"/>
        <w:rPr>
          <w:rFonts w:ascii="Calibri" w:hAnsi="Calibri" w:eastAsia="Arial" w:cs="Arial"/>
          <w:color w:val="000000"/>
          <w:kern w:val="0"/>
          <w:sz w:val="24"/>
          <w:szCs w:val="24"/>
          <w:lang w:val="it-IT" w:eastAsia="zh-CN" w:bidi="hi-IN"/>
        </w:rPr>
      </w:pPr>
      <w:r>
        <w:rPr>
          <w:rFonts w:eastAsia="Arial" w:cs="Arial"/>
          <w:color w:val="000000"/>
          <w:kern w:val="0"/>
          <w:sz w:val="24"/>
          <w:szCs w:val="24"/>
          <w:lang w:val="it-IT" w:eastAsia="zh-CN" w:bidi="hi-IN"/>
        </w:rPr>
        <w:t>Il Medico in Formazione Specialistica, Dr. Federico Favaro</w:t>
      </w:r>
    </w:p>
    <w:p>
      <w:pPr>
        <w:pStyle w:val="Normal"/>
        <w:jc w:val="right"/>
        <w:rPr>
          <w:rFonts w:ascii="Calibri" w:hAnsi="Calibri" w:eastAsia="Arial" w:cs="Arial"/>
          <w:color w:val="000000"/>
          <w:kern w:val="0"/>
          <w:sz w:val="24"/>
          <w:szCs w:val="24"/>
          <w:lang w:val="it-IT" w:eastAsia="zh-CN" w:bidi="hi-IN"/>
        </w:rPr>
      </w:pPr>
      <w:bookmarkStart w:id="8" w:name="_heading=h.gjdgxs"/>
      <w:bookmarkEnd w:id="8"/>
      <w:r>
        <w:rPr>
          <w:rFonts w:eastAsia="Arial" w:cs="Arial"/>
          <w:color w:val="000000"/>
          <w:kern w:val="0"/>
          <w:sz w:val="24"/>
          <w:szCs w:val="24"/>
          <w:lang w:val="it-IT" w:eastAsia="zh-CN" w:bidi="hi-IN"/>
        </w:rPr>
        <w:t>Il Dirigente Medico dell’Ambulatorio di Medicina del Lavoro, Dr.ssa Alessia Broggio</w:t>
      </w:r>
    </w:p>
    <w:sectPr>
      <w:headerReference w:type="default" r:id="rId2"/>
      <w:headerReference w:type="first" r:id="rId3"/>
      <w:footerReference w:type="default" r:id="rId4"/>
      <w:footerReference w:type="first" r:id="rId5"/>
      <w:type w:val="nextPage"/>
      <w:pgSz w:w="11906" w:h="16838"/>
      <w:pgMar w:left="1134" w:right="1134" w:header="850" w:top="2127" w:footer="567" w:bottom="624" w:gutter="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Georgia">
    <w:charset w:val="00"/>
    <w:family w:val="roman"/>
    <w:pitch w:val="variable"/>
  </w:font>
  <w:font w:name="Arial">
    <w:charset w:val="00"/>
    <w:family w:val="roman"/>
    <w:pitch w:val="variable"/>
  </w:font>
  <w:font w:name="Noto Sans Symbol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sz w:val="4"/>
        <w:szCs w:val="4"/>
      </w:rPr>
    </w:pPr>
    <w:r>
      <w:rPr>
        <w:sz w:val="4"/>
        <w:szCs w:val="4"/>
      </w:rPr>
    </w:r>
  </w:p>
  <w:tbl>
    <w:tblPr>
      <w:tblW w:w="10208" w:type="dxa"/>
      <w:jc w:val="left"/>
      <w:tblInd w:w="-260" w:type="dxa"/>
      <w:tblLayout w:type="fixed"/>
      <w:tblCellMar>
        <w:top w:w="0" w:type="dxa"/>
        <w:left w:w="108" w:type="dxa"/>
        <w:bottom w:w="0" w:type="dxa"/>
        <w:right w:w="108" w:type="dxa"/>
      </w:tblCellMar>
      <w:tblLook w:firstRow="0" w:noVBand="0" w:lastRow="0" w:firstColumn="0" w:lastColumn="0" w:noHBand="0" w:val="0000"/>
    </w:tblPr>
    <w:tblGrid>
      <w:gridCol w:w="3116"/>
      <w:gridCol w:w="4959"/>
      <w:gridCol w:w="2133"/>
    </w:tblGrid>
    <w:tr>
      <w:trPr>
        <w:trHeight w:val="23" w:hRule="atLeast"/>
      </w:trPr>
      <w:tc>
        <w:tcPr>
          <w:tcW w:w="3116" w:type="dxa"/>
          <w:tcBorders>
            <w:top w:val="single" w:sz="4" w:space="0" w:color="A6A6A6"/>
          </w:tcBorders>
          <w:shd w:fill="auto" w:val="clear"/>
        </w:tcPr>
        <w:p>
          <w:pPr>
            <w:pStyle w:val="Normal"/>
            <w:widowControl w:val="false"/>
            <w:spacing w:lineRule="auto" w:line="276"/>
            <w:rPr>
              <w:rFonts w:ascii="Arial" w:hAnsi="Arial" w:eastAsia="Arial" w:cs="Arial"/>
              <w:b/>
              <w:b/>
              <w:color w:val="C00000"/>
              <w:sz w:val="8"/>
              <w:szCs w:val="8"/>
            </w:rPr>
          </w:pPr>
          <w:r>
            <w:rPr>
              <w:rFonts w:eastAsia="Arial" w:cs="Arial" w:ascii="Arial" w:hAnsi="Arial"/>
              <w:b/>
              <w:color w:val="C00000"/>
              <w:sz w:val="8"/>
              <w:szCs w:val="8"/>
            </w:rPr>
          </w:r>
        </w:p>
      </w:tc>
      <w:tc>
        <w:tcPr>
          <w:tcW w:w="4959" w:type="dxa"/>
          <w:tcBorders>
            <w:top w:val="single" w:sz="4" w:space="0" w:color="A6A6A6"/>
          </w:tcBorders>
          <w:shd w:fill="auto" w:val="clear"/>
        </w:tcPr>
        <w:p>
          <w:pPr>
            <w:pStyle w:val="Normal"/>
            <w:widowControl w:val="false"/>
            <w:spacing w:lineRule="auto" w:line="276"/>
            <w:ind w:left="178" w:right="171" w:hanging="0"/>
            <w:rPr>
              <w:rFonts w:ascii="Arial" w:hAnsi="Arial" w:eastAsia="Arial" w:cs="Arial"/>
              <w:b/>
              <w:b/>
              <w:color w:val="767171"/>
              <w:sz w:val="8"/>
              <w:szCs w:val="8"/>
            </w:rPr>
          </w:pPr>
          <w:r>
            <w:rPr>
              <w:rFonts w:eastAsia="Arial" w:cs="Arial" w:ascii="Arial" w:hAnsi="Arial"/>
              <w:b/>
              <w:color w:val="767171"/>
              <w:sz w:val="8"/>
              <w:szCs w:val="8"/>
            </w:rPr>
          </w:r>
        </w:p>
      </w:tc>
      <w:tc>
        <w:tcPr>
          <w:tcW w:w="2133" w:type="dxa"/>
          <w:tcBorders>
            <w:top w:val="single" w:sz="4" w:space="0" w:color="A6A6A6"/>
          </w:tcBorders>
          <w:shd w:fill="auto" w:val="clear"/>
        </w:tcPr>
        <w:p>
          <w:pPr>
            <w:pStyle w:val="Normal"/>
            <w:widowControl w:val="false"/>
            <w:spacing w:lineRule="auto" w:line="276"/>
            <w:ind w:left="322" w:hanging="0"/>
            <w:rPr>
              <w:rFonts w:ascii="Arial" w:hAnsi="Arial" w:eastAsia="Arial" w:cs="Arial"/>
              <w:b/>
              <w:b/>
              <w:color w:val="C00000"/>
              <w:sz w:val="8"/>
              <w:szCs w:val="8"/>
            </w:rPr>
          </w:pPr>
          <w:r>
            <w:rPr>
              <w:rFonts w:eastAsia="Arial" w:cs="Arial" w:ascii="Arial" w:hAnsi="Arial"/>
              <w:b/>
              <w:color w:val="C00000"/>
              <w:sz w:val="8"/>
              <w:szCs w:val="8"/>
            </w:rPr>
          </w:r>
        </w:p>
      </w:tc>
    </w:tr>
    <w:tr>
      <w:trPr>
        <w:trHeight w:val="23" w:hRule="atLeast"/>
      </w:trPr>
      <w:tc>
        <w:tcPr>
          <w:tcW w:w="3116" w:type="dxa"/>
          <w:tcBorders/>
          <w:shd w:fill="auto" w:val="clear"/>
        </w:tcPr>
        <w:p>
          <w:pPr>
            <w:pStyle w:val="Normal"/>
            <w:widowControl w:val="false"/>
            <w:spacing w:lineRule="auto" w:line="276"/>
            <w:rPr/>
          </w:pPr>
          <w:r>
            <w:rPr>
              <w:rFonts w:eastAsia="Arial" w:cs="Arial" w:ascii="Arial" w:hAnsi="Arial"/>
              <w:b/>
              <w:color w:val="C00000"/>
              <w:sz w:val="16"/>
              <w:szCs w:val="16"/>
            </w:rPr>
            <w:t>Azienda Ospedale-Università Padova:</w:t>
          </w:r>
        </w:p>
      </w:tc>
      <w:tc>
        <w:tcPr>
          <w:tcW w:w="4959" w:type="dxa"/>
          <w:tcBorders>
            <w:left w:val="single" w:sz="4" w:space="0" w:color="A6A6A6"/>
          </w:tcBorders>
          <w:shd w:fill="auto" w:val="clear"/>
        </w:tcPr>
        <w:p>
          <w:pPr>
            <w:pStyle w:val="Normal"/>
            <w:widowControl w:val="false"/>
            <w:spacing w:lineRule="auto" w:line="276"/>
            <w:ind w:left="178" w:right="171" w:hanging="0"/>
            <w:rPr>
              <w:rFonts w:ascii="Arial" w:hAnsi="Arial" w:eastAsia="Arial" w:cs="Arial"/>
              <w:b/>
              <w:b/>
              <w:color w:val="C00000"/>
              <w:sz w:val="16"/>
              <w:szCs w:val="16"/>
            </w:rPr>
          </w:pPr>
          <w:r>
            <w:rPr>
              <w:rFonts w:eastAsia="Arial" w:cs="Arial" w:ascii="Arial" w:hAnsi="Arial"/>
              <w:b/>
              <w:color w:val="C00000"/>
              <w:sz w:val="16"/>
              <w:szCs w:val="16"/>
            </w:rPr>
          </w:r>
        </w:p>
      </w:tc>
      <w:tc>
        <w:tcPr>
          <w:tcW w:w="2133" w:type="dxa"/>
          <w:tcBorders>
            <w:left w:val="single" w:sz="4" w:space="0" w:color="A6A6A6"/>
          </w:tcBorders>
          <w:shd w:fill="auto" w:val="clear"/>
        </w:tcPr>
        <w:p>
          <w:pPr>
            <w:pStyle w:val="Normal"/>
            <w:widowControl w:val="false"/>
            <w:spacing w:lineRule="auto" w:line="276"/>
            <w:ind w:left="174" w:hanging="0"/>
            <w:rPr/>
          </w:pPr>
          <w:r>
            <w:rPr>
              <w:rFonts w:eastAsia="Arial" w:cs="Arial" w:ascii="Arial" w:hAnsi="Arial"/>
              <w:b/>
              <w:color w:val="C00000"/>
              <w:sz w:val="16"/>
              <w:szCs w:val="16"/>
            </w:rPr>
            <w:t>Aopd.veneto.it</w:t>
          </w:r>
        </w:p>
      </w:tc>
    </w:tr>
    <w:tr>
      <w:trPr>
        <w:trHeight w:val="23" w:hRule="atLeast"/>
      </w:trPr>
      <w:tc>
        <w:tcPr>
          <w:tcW w:w="3116" w:type="dxa"/>
          <w:tcBorders>
            <w:top w:val="single" w:sz="4" w:space="0" w:color="A6A6A6"/>
            <w:bottom w:val="single" w:sz="4" w:space="0" w:color="A6A6A6"/>
          </w:tcBorders>
          <w:shd w:fill="auto" w:val="clear"/>
        </w:tcPr>
        <w:p>
          <w:pPr>
            <w:pStyle w:val="Normal"/>
            <w:widowControl w:val="false"/>
            <w:spacing w:lineRule="auto" w:line="276"/>
            <w:rPr>
              <w:rFonts w:ascii="Arial" w:hAnsi="Arial" w:eastAsia="Arial" w:cs="Arial"/>
              <w:b/>
              <w:b/>
              <w:color w:val="C00000"/>
              <w:sz w:val="8"/>
              <w:szCs w:val="8"/>
            </w:rPr>
          </w:pPr>
          <w:r>
            <w:rPr>
              <w:rFonts w:eastAsia="Arial" w:cs="Arial" w:ascii="Arial" w:hAnsi="Arial"/>
              <w:b/>
              <w:color w:val="C00000"/>
              <w:sz w:val="8"/>
              <w:szCs w:val="8"/>
            </w:rPr>
          </w:r>
        </w:p>
      </w:tc>
      <w:tc>
        <w:tcPr>
          <w:tcW w:w="4959" w:type="dxa"/>
          <w:tcBorders>
            <w:top w:val="single" w:sz="4" w:space="0" w:color="A6A6A6"/>
            <w:bottom w:val="single" w:sz="4" w:space="0" w:color="A6A6A6"/>
          </w:tcBorders>
          <w:shd w:fill="auto" w:val="clear"/>
        </w:tcPr>
        <w:p>
          <w:pPr>
            <w:pStyle w:val="Normal"/>
            <w:widowControl w:val="false"/>
            <w:spacing w:lineRule="auto" w:line="276"/>
            <w:ind w:left="178" w:right="171" w:hanging="0"/>
            <w:rPr>
              <w:rFonts w:ascii="Arial" w:hAnsi="Arial" w:eastAsia="Arial" w:cs="Arial"/>
              <w:b/>
              <w:b/>
              <w:color w:val="767171"/>
              <w:sz w:val="8"/>
              <w:szCs w:val="8"/>
            </w:rPr>
          </w:pPr>
          <w:r>
            <w:rPr>
              <w:rFonts w:eastAsia="Arial" w:cs="Arial" w:ascii="Arial" w:hAnsi="Arial"/>
              <w:b/>
              <w:color w:val="767171"/>
              <w:sz w:val="8"/>
              <w:szCs w:val="8"/>
            </w:rPr>
          </w:r>
        </w:p>
      </w:tc>
      <w:tc>
        <w:tcPr>
          <w:tcW w:w="2133" w:type="dxa"/>
          <w:tcBorders>
            <w:top w:val="single" w:sz="4" w:space="0" w:color="A6A6A6"/>
            <w:bottom w:val="single" w:sz="4" w:space="0" w:color="A6A6A6"/>
          </w:tcBorders>
          <w:shd w:fill="auto" w:val="clear"/>
        </w:tcPr>
        <w:p>
          <w:pPr>
            <w:pStyle w:val="Normal"/>
            <w:widowControl w:val="false"/>
            <w:spacing w:lineRule="auto" w:line="276"/>
            <w:ind w:left="322" w:hanging="0"/>
            <w:rPr>
              <w:rFonts w:ascii="Arial" w:hAnsi="Arial" w:eastAsia="Arial" w:cs="Arial"/>
              <w:b/>
              <w:b/>
              <w:color w:val="C00000"/>
              <w:sz w:val="8"/>
              <w:szCs w:val="8"/>
            </w:rPr>
          </w:pPr>
          <w:r>
            <w:rPr>
              <w:rFonts w:eastAsia="Arial" w:cs="Arial" w:ascii="Arial" w:hAnsi="Arial"/>
              <w:b/>
              <w:color w:val="C00000"/>
              <w:sz w:val="8"/>
              <w:szCs w:val="8"/>
            </w:rPr>
          </w:r>
        </w:p>
      </w:tc>
    </w:tr>
  </w:tbl>
  <w:p>
    <w:pPr>
      <w:pStyle w:val="Normal"/>
      <w:rPr>
        <w:sz w:val="4"/>
        <w:szCs w:val="4"/>
      </w:rPr>
    </w:pPr>
    <w:r>
      <w:rPr>
        <w:sz w:val="4"/>
        <w:szCs w:val="4"/>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val="false"/>
      <w:spacing w:lineRule="auto" w:line="276"/>
      <w:rPr/>
    </w:pPr>
    <w:r>
      <w:rPr/>
    </w:r>
  </w:p>
  <w:tbl>
    <w:tblPr>
      <w:tblW w:w="10208" w:type="dxa"/>
      <w:jc w:val="left"/>
      <w:tblInd w:w="-250" w:type="dxa"/>
      <w:tblLayout w:type="fixed"/>
      <w:tblCellMar>
        <w:top w:w="0" w:type="dxa"/>
        <w:left w:w="108" w:type="dxa"/>
        <w:bottom w:w="0" w:type="dxa"/>
        <w:right w:w="108" w:type="dxa"/>
      </w:tblCellMar>
      <w:tblLook w:firstRow="0" w:noVBand="0" w:lastRow="0" w:firstColumn="0" w:lastColumn="0" w:noHBand="0" w:val="0000"/>
    </w:tblPr>
    <w:tblGrid>
      <w:gridCol w:w="3116"/>
      <w:gridCol w:w="4959"/>
      <w:gridCol w:w="2133"/>
    </w:tblGrid>
    <w:tr>
      <w:trPr>
        <w:trHeight w:val="23" w:hRule="atLeast"/>
      </w:trPr>
      <w:tc>
        <w:tcPr>
          <w:tcW w:w="3116" w:type="dxa"/>
          <w:tcBorders>
            <w:top w:val="single" w:sz="4" w:space="0" w:color="A6A6A6"/>
          </w:tcBorders>
          <w:shd w:fill="auto" w:val="clear"/>
        </w:tcPr>
        <w:p>
          <w:pPr>
            <w:pStyle w:val="Normal"/>
            <w:widowControl w:val="false"/>
            <w:spacing w:lineRule="auto" w:line="276"/>
            <w:rPr>
              <w:rFonts w:ascii="Arial" w:hAnsi="Arial" w:eastAsia="Arial" w:cs="Arial"/>
              <w:b/>
              <w:b/>
              <w:color w:val="C00000"/>
              <w:sz w:val="8"/>
              <w:szCs w:val="8"/>
            </w:rPr>
          </w:pPr>
          <w:r>
            <w:rPr>
              <w:rFonts w:eastAsia="Arial" w:cs="Arial" w:ascii="Arial" w:hAnsi="Arial"/>
              <w:b/>
              <w:color w:val="C00000"/>
              <w:sz w:val="8"/>
              <w:szCs w:val="8"/>
            </w:rPr>
          </w:r>
        </w:p>
      </w:tc>
      <w:tc>
        <w:tcPr>
          <w:tcW w:w="4959" w:type="dxa"/>
          <w:tcBorders>
            <w:top w:val="single" w:sz="4" w:space="0" w:color="A6A6A6"/>
          </w:tcBorders>
          <w:shd w:fill="auto" w:val="clear"/>
        </w:tcPr>
        <w:p>
          <w:pPr>
            <w:pStyle w:val="Normal"/>
            <w:widowControl w:val="false"/>
            <w:spacing w:lineRule="auto" w:line="276"/>
            <w:ind w:left="178" w:right="171" w:hanging="0"/>
            <w:rPr>
              <w:rFonts w:ascii="Arial" w:hAnsi="Arial" w:eastAsia="Arial" w:cs="Arial"/>
              <w:b/>
              <w:b/>
              <w:color w:val="767171"/>
              <w:sz w:val="8"/>
              <w:szCs w:val="8"/>
            </w:rPr>
          </w:pPr>
          <w:r>
            <w:rPr>
              <w:rFonts w:eastAsia="Arial" w:cs="Arial" w:ascii="Arial" w:hAnsi="Arial"/>
              <w:b/>
              <w:color w:val="767171"/>
              <w:sz w:val="8"/>
              <w:szCs w:val="8"/>
            </w:rPr>
          </w:r>
        </w:p>
      </w:tc>
      <w:tc>
        <w:tcPr>
          <w:tcW w:w="2133" w:type="dxa"/>
          <w:tcBorders>
            <w:top w:val="single" w:sz="4" w:space="0" w:color="A6A6A6"/>
          </w:tcBorders>
          <w:shd w:fill="auto" w:val="clear"/>
        </w:tcPr>
        <w:p>
          <w:pPr>
            <w:pStyle w:val="Normal"/>
            <w:widowControl w:val="false"/>
            <w:spacing w:lineRule="auto" w:line="276"/>
            <w:ind w:left="322" w:hanging="0"/>
            <w:rPr>
              <w:rFonts w:ascii="Arial" w:hAnsi="Arial" w:eastAsia="Arial" w:cs="Arial"/>
              <w:b/>
              <w:b/>
              <w:color w:val="C00000"/>
              <w:sz w:val="8"/>
              <w:szCs w:val="8"/>
            </w:rPr>
          </w:pPr>
          <w:r>
            <w:rPr>
              <w:rFonts w:eastAsia="Arial" w:cs="Arial" w:ascii="Arial" w:hAnsi="Arial"/>
              <w:b/>
              <w:color w:val="C00000"/>
              <w:sz w:val="8"/>
              <w:szCs w:val="8"/>
            </w:rPr>
          </w:r>
        </w:p>
      </w:tc>
    </w:tr>
    <w:tr>
      <w:trPr>
        <w:trHeight w:val="23" w:hRule="atLeast"/>
      </w:trPr>
      <w:tc>
        <w:tcPr>
          <w:tcW w:w="3116" w:type="dxa"/>
          <w:tcBorders/>
          <w:shd w:fill="auto" w:val="clear"/>
        </w:tcPr>
        <w:p>
          <w:pPr>
            <w:pStyle w:val="Normal"/>
            <w:widowControl w:val="false"/>
            <w:spacing w:lineRule="auto" w:line="276"/>
            <w:rPr/>
          </w:pPr>
          <w:r>
            <w:rPr>
              <w:rFonts w:eastAsia="Arial" w:cs="Arial" w:ascii="Arial" w:hAnsi="Arial"/>
              <w:b/>
              <w:color w:val="C00000"/>
              <w:sz w:val="16"/>
              <w:szCs w:val="16"/>
            </w:rPr>
            <w:t>Azienda Ospedale-Università Padova:</w:t>
          </w:r>
        </w:p>
        <w:p>
          <w:pPr>
            <w:pStyle w:val="Normal"/>
            <w:widowControl w:val="false"/>
            <w:spacing w:lineRule="auto" w:line="276"/>
            <w:rPr/>
          </w:pPr>
          <w:r>
            <w:rPr>
              <w:rFonts w:eastAsia="Arial" w:cs="Arial" w:ascii="Arial" w:hAnsi="Arial"/>
              <w:color w:val="767171"/>
              <w:sz w:val="16"/>
              <w:szCs w:val="16"/>
            </w:rPr>
            <w:t>via Giustiniani, 2 - 35128 PADOVA</w:t>
          </w:r>
        </w:p>
        <w:p>
          <w:pPr>
            <w:pStyle w:val="Normal"/>
            <w:widowControl w:val="false"/>
            <w:spacing w:lineRule="auto" w:line="276"/>
            <w:rPr/>
          </w:pPr>
          <w:r>
            <w:rPr>
              <w:rFonts w:eastAsia="Arial" w:cs="Arial" w:ascii="Arial" w:hAnsi="Arial"/>
              <w:b/>
              <w:color w:val="767171"/>
              <w:sz w:val="16"/>
              <w:szCs w:val="16"/>
            </w:rPr>
            <w:t>T</w:t>
          </w:r>
          <w:r>
            <w:rPr>
              <w:rFonts w:eastAsia="Arial" w:cs="Arial" w:ascii="Arial" w:hAnsi="Arial"/>
              <w:color w:val="767171"/>
              <w:sz w:val="16"/>
              <w:szCs w:val="16"/>
            </w:rPr>
            <w:t>.+ 39 049 8211111</w:t>
          </w:r>
        </w:p>
        <w:p>
          <w:pPr>
            <w:pStyle w:val="Normal"/>
            <w:widowControl w:val="false"/>
            <w:spacing w:lineRule="auto" w:line="276"/>
            <w:rPr/>
          </w:pPr>
          <w:r>
            <w:rPr>
              <w:rFonts w:eastAsia="Arial" w:cs="Arial" w:ascii="Arial" w:hAnsi="Arial"/>
              <w:color w:val="767171"/>
              <w:sz w:val="16"/>
              <w:szCs w:val="16"/>
            </w:rPr>
            <w:t>P.E.C.:protocollo.aopd@pecveneto.it</w:t>
          </w:r>
        </w:p>
        <w:p>
          <w:pPr>
            <w:pStyle w:val="Normal"/>
            <w:widowControl w:val="false"/>
            <w:spacing w:lineRule="auto" w:line="276"/>
            <w:rPr/>
          </w:pPr>
          <w:r>
            <w:rPr>
              <w:rFonts w:eastAsia="Arial" w:cs="Arial" w:ascii="Arial" w:hAnsi="Arial"/>
              <w:color w:val="767171"/>
              <w:sz w:val="16"/>
              <w:szCs w:val="16"/>
            </w:rPr>
            <w:t>Cod.Fisc./P.IVA 00349040287</w:t>
          </w:r>
        </w:p>
        <w:p>
          <w:pPr>
            <w:pStyle w:val="Normal"/>
            <w:widowControl w:val="false"/>
            <w:spacing w:lineRule="auto" w:line="276"/>
            <w:rPr>
              <w:rFonts w:ascii="Arial" w:hAnsi="Arial" w:eastAsia="Arial" w:cs="Arial"/>
              <w:color w:val="767171"/>
              <w:sz w:val="16"/>
              <w:szCs w:val="16"/>
            </w:rPr>
          </w:pPr>
          <w:r>
            <w:rPr>
              <w:rFonts w:eastAsia="Arial" w:cs="Arial" w:ascii="Arial" w:hAnsi="Arial"/>
              <w:color w:val="767171"/>
              <w:sz w:val="16"/>
              <w:szCs w:val="16"/>
            </w:rPr>
          </w:r>
        </w:p>
      </w:tc>
      <w:tc>
        <w:tcPr>
          <w:tcW w:w="4959" w:type="dxa"/>
          <w:tcBorders>
            <w:left w:val="single" w:sz="4" w:space="0" w:color="A6A6A6"/>
          </w:tcBorders>
          <w:shd w:fill="auto" w:val="clear"/>
        </w:tcPr>
        <w:p>
          <w:pPr>
            <w:pStyle w:val="Normal"/>
            <w:widowControl w:val="false"/>
            <w:spacing w:lineRule="auto" w:line="276"/>
            <w:ind w:left="178" w:right="171" w:hanging="0"/>
            <w:rPr/>
          </w:pPr>
          <w:r>
            <w:rPr>
              <w:rFonts w:eastAsia="Arial" w:cs="Arial" w:ascii="Arial" w:hAnsi="Arial"/>
              <w:b/>
              <w:color w:val="767171"/>
              <w:sz w:val="16"/>
              <w:szCs w:val="16"/>
            </w:rPr>
            <w:t>DIDAS SERVIZI DI DIAGNOSTICA INTEGRATA</w:t>
          </w:r>
        </w:p>
        <w:p>
          <w:pPr>
            <w:pStyle w:val="Normal"/>
            <w:widowControl w:val="false"/>
            <w:spacing w:lineRule="auto" w:line="276"/>
            <w:ind w:left="178" w:right="171" w:hanging="0"/>
            <w:rPr/>
          </w:pPr>
          <w:r>
            <w:rPr>
              <w:rFonts w:eastAsia="Arial" w:cs="Arial" w:ascii="Arial" w:hAnsi="Arial"/>
              <w:b/>
              <w:color w:val="767171"/>
              <w:sz w:val="16"/>
              <w:szCs w:val="16"/>
            </w:rPr>
            <w:t>UOC MEDICINA DEL LAVORO</w:t>
          </w:r>
        </w:p>
        <w:p>
          <w:pPr>
            <w:pStyle w:val="Normal"/>
            <w:widowControl w:val="false"/>
            <w:spacing w:lineRule="auto" w:line="276"/>
            <w:ind w:left="178" w:right="171" w:hanging="0"/>
            <w:rPr/>
          </w:pPr>
          <w:r>
            <w:rPr>
              <w:rFonts w:eastAsia="Arial" w:cs="Arial" w:ascii="Arial" w:hAnsi="Arial"/>
              <w:i/>
              <w:color w:val="767171"/>
              <w:sz w:val="16"/>
              <w:szCs w:val="16"/>
            </w:rPr>
            <w:t>Direttore: Prof.ssa Maria Luisa Scapellato</w:t>
          </w:r>
        </w:p>
        <w:p>
          <w:pPr>
            <w:pStyle w:val="Normal"/>
            <w:widowControl w:val="false"/>
            <w:spacing w:lineRule="auto" w:line="276"/>
            <w:ind w:left="178" w:right="171" w:hanging="0"/>
            <w:rPr/>
          </w:pPr>
          <w:r>
            <w:rPr>
              <w:rFonts w:eastAsia="Arial" w:cs="Arial" w:ascii="Arial" w:hAnsi="Arial"/>
              <w:b/>
              <w:color w:val="767171"/>
              <w:sz w:val="16"/>
              <w:szCs w:val="16"/>
            </w:rPr>
            <w:t>T</w:t>
          </w:r>
          <w:r>
            <w:rPr>
              <w:rFonts w:eastAsia="Arial" w:cs="Arial" w:ascii="Arial" w:hAnsi="Arial"/>
              <w:color w:val="767171"/>
              <w:sz w:val="16"/>
              <w:szCs w:val="16"/>
            </w:rPr>
            <w:t>. +39 049 821 2572</w:t>
          </w:r>
        </w:p>
        <w:p>
          <w:pPr>
            <w:pStyle w:val="Normal"/>
            <w:widowControl w:val="false"/>
            <w:spacing w:lineRule="auto" w:line="276"/>
            <w:ind w:left="178" w:right="171" w:hanging="0"/>
            <w:rPr/>
          </w:pPr>
          <w:r>
            <w:rPr>
              <w:rFonts w:eastAsia="Arial" w:cs="Arial" w:ascii="Arial" w:hAnsi="Arial"/>
              <w:color w:val="767171"/>
              <w:sz w:val="16"/>
              <w:szCs w:val="16"/>
            </w:rPr>
            <w:t xml:space="preserve">e-mail </w:t>
          </w:r>
          <w:hyperlink r:id="rId1">
            <w:r>
              <w:rPr/>
              <w:t>med.lavoro@aopd.veneto.it</w:t>
            </w:r>
          </w:hyperlink>
          <w:r>
            <w:rPr>
              <w:rFonts w:eastAsia="Arial" w:cs="Arial" w:ascii="Arial" w:hAnsi="Arial"/>
              <w:color w:val="767171"/>
              <w:sz w:val="16"/>
              <w:szCs w:val="16"/>
            </w:rPr>
            <w:t xml:space="preserve"> </w:t>
          </w:r>
        </w:p>
      </w:tc>
      <w:tc>
        <w:tcPr>
          <w:tcW w:w="2133" w:type="dxa"/>
          <w:tcBorders>
            <w:left w:val="single" w:sz="4" w:space="0" w:color="A6A6A6"/>
          </w:tcBorders>
          <w:shd w:fill="auto" w:val="clear"/>
        </w:tcPr>
        <w:p>
          <w:pPr>
            <w:pStyle w:val="Normal"/>
            <w:widowControl w:val="false"/>
            <w:spacing w:lineRule="auto" w:line="276"/>
            <w:ind w:left="174" w:hanging="0"/>
            <w:rPr/>
          </w:pPr>
          <w:r>
            <w:rPr>
              <w:rFonts w:eastAsia="Arial" w:cs="Arial" w:ascii="Arial" w:hAnsi="Arial"/>
              <w:b/>
              <w:color w:val="C00000"/>
              <w:sz w:val="16"/>
              <w:szCs w:val="16"/>
            </w:rPr>
            <w:t>Aopd.veneto.it</w:t>
          </w:r>
        </w:p>
      </w:tc>
    </w:tr>
    <w:tr>
      <w:trPr>
        <w:trHeight w:val="23" w:hRule="atLeast"/>
      </w:trPr>
      <w:tc>
        <w:tcPr>
          <w:tcW w:w="3116" w:type="dxa"/>
          <w:tcBorders>
            <w:top w:val="single" w:sz="4" w:space="0" w:color="A6A6A6"/>
            <w:bottom w:val="single" w:sz="4" w:space="0" w:color="A6A6A6"/>
          </w:tcBorders>
          <w:shd w:fill="auto" w:val="clear"/>
        </w:tcPr>
        <w:p>
          <w:pPr>
            <w:pStyle w:val="Normal"/>
            <w:widowControl w:val="false"/>
            <w:spacing w:lineRule="auto" w:line="276"/>
            <w:rPr>
              <w:rFonts w:ascii="Arial" w:hAnsi="Arial" w:eastAsia="Arial" w:cs="Arial"/>
              <w:b/>
              <w:b/>
              <w:color w:val="C00000"/>
              <w:sz w:val="8"/>
              <w:szCs w:val="8"/>
            </w:rPr>
          </w:pPr>
          <w:r>
            <w:rPr>
              <w:rFonts w:eastAsia="Arial" w:cs="Arial" w:ascii="Arial" w:hAnsi="Arial"/>
              <w:b/>
              <w:color w:val="C00000"/>
              <w:sz w:val="8"/>
              <w:szCs w:val="8"/>
            </w:rPr>
          </w:r>
        </w:p>
      </w:tc>
      <w:tc>
        <w:tcPr>
          <w:tcW w:w="4959" w:type="dxa"/>
          <w:tcBorders>
            <w:top w:val="single" w:sz="4" w:space="0" w:color="A6A6A6"/>
            <w:bottom w:val="single" w:sz="4" w:space="0" w:color="A6A6A6"/>
          </w:tcBorders>
          <w:shd w:fill="auto" w:val="clear"/>
        </w:tcPr>
        <w:p>
          <w:pPr>
            <w:pStyle w:val="Normal"/>
            <w:widowControl w:val="false"/>
            <w:spacing w:lineRule="auto" w:line="276"/>
            <w:ind w:left="178" w:right="171" w:hanging="0"/>
            <w:rPr>
              <w:rFonts w:ascii="Arial" w:hAnsi="Arial" w:eastAsia="Arial" w:cs="Arial"/>
              <w:b/>
              <w:b/>
              <w:color w:val="767171"/>
              <w:sz w:val="8"/>
              <w:szCs w:val="8"/>
            </w:rPr>
          </w:pPr>
          <w:r>
            <w:rPr>
              <w:rFonts w:eastAsia="Arial" w:cs="Arial" w:ascii="Arial" w:hAnsi="Arial"/>
              <w:b/>
              <w:color w:val="767171"/>
              <w:sz w:val="8"/>
              <w:szCs w:val="8"/>
            </w:rPr>
          </w:r>
        </w:p>
      </w:tc>
      <w:tc>
        <w:tcPr>
          <w:tcW w:w="2133" w:type="dxa"/>
          <w:tcBorders>
            <w:top w:val="single" w:sz="4" w:space="0" w:color="A6A6A6"/>
            <w:bottom w:val="single" w:sz="4" w:space="0" w:color="A6A6A6"/>
          </w:tcBorders>
          <w:shd w:fill="auto" w:val="clear"/>
        </w:tcPr>
        <w:p>
          <w:pPr>
            <w:pStyle w:val="Normal"/>
            <w:widowControl w:val="false"/>
            <w:spacing w:lineRule="auto" w:line="276"/>
            <w:ind w:left="322" w:hanging="0"/>
            <w:rPr>
              <w:rFonts w:ascii="Arial" w:hAnsi="Arial" w:eastAsia="Arial" w:cs="Arial"/>
              <w:b/>
              <w:b/>
              <w:color w:val="C00000"/>
              <w:sz w:val="8"/>
              <w:szCs w:val="8"/>
            </w:rPr>
          </w:pPr>
          <w:r>
            <w:rPr>
              <w:rFonts w:eastAsia="Arial" w:cs="Arial" w:ascii="Arial" w:hAnsi="Arial"/>
              <w:b/>
              <w:color w:val="C00000"/>
              <w:sz w:val="8"/>
              <w:szCs w:val="8"/>
            </w:rPr>
          </w:r>
        </w:p>
      </w:tc>
    </w:tr>
  </w:tbl>
  <w:p>
    <w:pPr>
      <w:pStyle w:val="Normal"/>
      <w:rPr>
        <w:sz w:val="4"/>
        <w:szCs w:val="4"/>
      </w:rPr>
    </w:pPr>
    <w:r>
      <w:rPr>
        <w:sz w:val="4"/>
        <w:szCs w:val="4"/>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rFonts w:ascii="Arial" w:hAnsi="Arial" w:eastAsia="Arial" w:cs="Arial"/>
        <w:color w:val="000000"/>
      </w:rPr>
    </w:pPr>
    <w:r>
      <w:rPr>
        <w:rFonts w:eastAsia="Arial" w:cs="Arial" w:ascii="Arial" w:hAnsi="Arial"/>
        <w:color w:val="00000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pPr>
    <w:r>
      <w:rPr/>
      <w:drawing>
        <wp:inline distT="0" distB="0" distL="0" distR="0">
          <wp:extent cx="1928495" cy="85153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rcRect l="-8" t="-19" r="-8" b="-19"/>
                  <a:stretch>
                    <a:fillRect/>
                  </a:stretch>
                </pic:blipFill>
                <pic:spPr bwMode="auto">
                  <a:xfrm>
                    <a:off x="0" y="0"/>
                    <a:ext cx="1928495" cy="85153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
      <w:lvlJc w:val="left"/>
      <w:pPr>
        <w:tabs>
          <w:tab w:val="num" w:pos="0"/>
        </w:tabs>
        <w:ind w:left="3600" w:hanging="360"/>
      </w:pPr>
      <w:rPr>
        <w:rFonts w:ascii="Noto Sans Symbols" w:hAnsi="Noto Sans Symbols" w:cs="Noto Sans Symbols"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
      <w:lvlJc w:val="left"/>
      <w:pPr>
        <w:tabs>
          <w:tab w:val="num" w:pos="0"/>
        </w:tabs>
        <w:ind w:left="5760" w:hanging="360"/>
      </w:pPr>
      <w:rPr>
        <w:rFonts w:ascii="Noto Sans Symbols" w:hAnsi="Noto Sans Symbols" w:cs="Noto Sans Symbols"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00000A"/>
        <w:szCs w:val="24"/>
        <w:lang w:val="it-IT"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textAlignment w:val="baseline"/>
    </w:pPr>
    <w:rPr>
      <w:rFonts w:ascii="Calibri" w:hAnsi="Calibri" w:eastAsia="Calibri" w:cs="Calibri"/>
      <w:color w:val="00000A"/>
      <w:kern w:val="0"/>
      <w:sz w:val="24"/>
      <w:szCs w:val="24"/>
      <w:lang w:val="it-IT" w:eastAsia="zh-CN" w:bidi="hi-IN"/>
    </w:rPr>
  </w:style>
  <w:style w:type="paragraph" w:styleId="Titolo1">
    <w:name w:val="Heading 1"/>
    <w:basedOn w:val="Normal"/>
    <w:next w:val="Normal"/>
    <w:uiPriority w:val="9"/>
    <w:qFormat/>
    <w:pPr>
      <w:keepNext w:val="true"/>
      <w:keepLines/>
      <w:widowControl w:val="false"/>
      <w:spacing w:before="400" w:after="120"/>
      <w:outlineLvl w:val="0"/>
    </w:pPr>
    <w:rPr>
      <w:rFonts w:ascii="Times New Roman" w:hAnsi="Times New Roman" w:eastAsia="Times New Roman"/>
      <w:sz w:val="26"/>
      <w:szCs w:val="26"/>
      <w:lang w:eastAsia="it-IT"/>
    </w:rPr>
  </w:style>
  <w:style w:type="paragraph" w:styleId="Titolo2">
    <w:name w:val="Heading 2"/>
    <w:basedOn w:val="Normal"/>
    <w:next w:val="Normal"/>
    <w:uiPriority w:val="9"/>
    <w:semiHidden/>
    <w:unhideWhenUsed/>
    <w:qFormat/>
    <w:pPr>
      <w:keepNext w:val="true"/>
      <w:keepLines/>
      <w:widowControl w:val="false"/>
      <w:spacing w:before="360" w:after="80"/>
      <w:outlineLvl w:val="1"/>
    </w:pPr>
    <w:rPr>
      <w:b/>
      <w:sz w:val="36"/>
      <w:szCs w:val="36"/>
    </w:rPr>
  </w:style>
  <w:style w:type="paragraph" w:styleId="Titolo3">
    <w:name w:val="Heading 3"/>
    <w:basedOn w:val="Normal"/>
    <w:next w:val="Normal"/>
    <w:uiPriority w:val="9"/>
    <w:semiHidden/>
    <w:unhideWhenUsed/>
    <w:qFormat/>
    <w:pPr>
      <w:keepNext w:val="true"/>
      <w:keepLines/>
      <w:widowControl w:val="false"/>
      <w:spacing w:before="280" w:after="80"/>
      <w:outlineLvl w:val="2"/>
    </w:pPr>
    <w:rPr>
      <w:b/>
      <w:sz w:val="28"/>
      <w:szCs w:val="28"/>
    </w:rPr>
  </w:style>
  <w:style w:type="paragraph" w:styleId="Titolo4">
    <w:name w:val="Heading 4"/>
    <w:basedOn w:val="Normal"/>
    <w:next w:val="Normal"/>
    <w:uiPriority w:val="9"/>
    <w:semiHidden/>
    <w:unhideWhenUsed/>
    <w:qFormat/>
    <w:pPr>
      <w:keepNext w:val="true"/>
      <w:keepLines/>
      <w:widowControl w:val="false"/>
      <w:spacing w:before="240" w:after="40"/>
      <w:outlineLvl w:val="3"/>
    </w:pPr>
    <w:rPr>
      <w:b/>
    </w:rPr>
  </w:style>
  <w:style w:type="paragraph" w:styleId="Titolo5">
    <w:name w:val="Heading 5"/>
    <w:basedOn w:val="Normal"/>
    <w:next w:val="Normal"/>
    <w:uiPriority w:val="9"/>
    <w:semiHidden/>
    <w:unhideWhenUsed/>
    <w:qFormat/>
    <w:pPr>
      <w:keepNext w:val="true"/>
      <w:keepLines/>
      <w:widowControl w:val="false"/>
      <w:spacing w:before="220" w:after="40"/>
      <w:outlineLvl w:val="4"/>
    </w:pPr>
    <w:rPr>
      <w:b/>
      <w:sz w:val="22"/>
      <w:szCs w:val="22"/>
    </w:rPr>
  </w:style>
  <w:style w:type="paragraph" w:styleId="Titolo6">
    <w:name w:val="Heading 6"/>
    <w:basedOn w:val="Normal"/>
    <w:next w:val="Normal"/>
    <w:uiPriority w:val="9"/>
    <w:semiHidden/>
    <w:unhideWhenUsed/>
    <w:qFormat/>
    <w:pPr>
      <w:keepNext w:val="true"/>
      <w:keepLines/>
      <w:widowControl w:val="false"/>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arpredefinitoparagrafo1" w:customStyle="1">
    <w:name w:val="Car. predefinito paragrafo1"/>
    <w:qFormat/>
    <w:rPr/>
  </w:style>
  <w:style w:type="character" w:styleId="IntestazioneCarattere" w:customStyle="1">
    <w:name w:val="Intestazione Carattere"/>
    <w:basedOn w:val="Carpredefinitoparagrafo1"/>
    <w:qFormat/>
    <w:rPr/>
  </w:style>
  <w:style w:type="character" w:styleId="PidipaginaCarattere" w:customStyle="1">
    <w:name w:val="Piè di pagina Carattere"/>
    <w:basedOn w:val="Carpredefinitoparagrafo1"/>
    <w:qFormat/>
    <w:rPr/>
  </w:style>
  <w:style w:type="character" w:styleId="CollegamentoInternet" w:customStyle="1">
    <w:name w:val="Collegamento Internet"/>
    <w:qFormat/>
    <w:rPr>
      <w:color w:val="000080"/>
      <w:u w:val="single"/>
    </w:rPr>
  </w:style>
  <w:style w:type="character" w:styleId="Menzionenonrisolta1" w:customStyle="1">
    <w:name w:val="Menzione non risolta1"/>
    <w:qFormat/>
    <w:rPr>
      <w:color w:val="605E5C"/>
      <w:shd w:fill="E1DFDD" w:val="clear"/>
    </w:rPr>
  </w:style>
  <w:style w:type="character" w:styleId="Menzionenonrisolta2" w:customStyle="1">
    <w:name w:val="Menzione non risolta2"/>
    <w:qFormat/>
    <w:rPr>
      <w:color w:val="605E5C"/>
      <w:shd w:fill="E1DFDD" w:val="clear"/>
    </w:rPr>
  </w:style>
  <w:style w:type="character" w:styleId="TestofumettoCarattere" w:customStyle="1">
    <w:name w:val="Testo fumetto Carattere"/>
    <w:basedOn w:val="DefaultParagraphFont"/>
    <w:link w:val="Testofumetto"/>
    <w:uiPriority w:val="99"/>
    <w:semiHidden/>
    <w:qFormat/>
    <w:rsid w:val="00b63037"/>
    <w:rPr>
      <w:rFonts w:ascii="Tahoma" w:hAnsi="Tahoma" w:eastAsia="Calibri" w:cs="Tahoma"/>
      <w:color w:val="00000A"/>
      <w:sz w:val="16"/>
      <w:szCs w:val="16"/>
      <w:lang w:eastAsia="zh-CN"/>
    </w:rPr>
  </w:style>
  <w:style w:type="character" w:styleId="Enfasiforte" w:customStyle="1">
    <w:name w:val="Enfasi forte"/>
    <w:qFormat/>
    <w:rPr>
      <w:b/>
      <w:bCs/>
    </w:rPr>
  </w:style>
  <w:style w:type="character" w:styleId="Punti" w:customStyle="1">
    <w:name w:val="Punti"/>
    <w:qFormat/>
    <w:rPr>
      <w:rFonts w:ascii="OpenSymbol" w:hAnsi="OpenSymbol" w:eastAsia="OpenSymbol" w:cs="OpenSymbol"/>
    </w:rPr>
  </w:style>
  <w:style w:type="character" w:styleId="Enfasi" w:customStyle="1">
    <w:name w:val="Enfasi"/>
    <w:qFormat/>
    <w:rPr>
      <w:i/>
      <w:iCs/>
    </w:rPr>
  </w:style>
  <w:style w:type="paragraph" w:styleId="Titolo">
    <w:name w:val="Titolo"/>
    <w:basedOn w:val="Normal"/>
    <w:next w:val="Corpodeltesto"/>
    <w:qFormat/>
    <w:pPr>
      <w:keepNext w:val="true"/>
      <w:spacing w:before="240" w:after="120"/>
    </w:pPr>
    <w:rPr>
      <w:rFonts w:ascii="Liberation Sans" w:hAnsi="Liberation Sans" w:eastAsia="Microsoft YaHei" w:cs="Arial"/>
      <w:sz w:val="28"/>
      <w:szCs w:val="28"/>
    </w:rPr>
  </w:style>
  <w:style w:type="paragraph" w:styleId="Corpodeltesto">
    <w:name w:val="Body Text"/>
    <w:basedOn w:val="Normal"/>
    <w:pPr>
      <w:spacing w:lineRule="auto" w:line="276" w:before="0" w:after="140"/>
    </w:pPr>
    <w:rPr/>
  </w:style>
  <w:style w:type="paragraph" w:styleId="Elenco">
    <w:name w:val="List"/>
    <w:basedOn w:val="Corpodeltesto"/>
    <w:pPr/>
    <w:rPr>
      <w:rFonts w:cs="Mangal"/>
    </w:rPr>
  </w:style>
  <w:style w:type="paragraph" w:styleId="Didascalia">
    <w:name w:val="Caption"/>
    <w:basedOn w:val="Normal"/>
    <w:qFormat/>
    <w:pPr>
      <w:suppressLineNumbers/>
      <w:spacing w:before="120" w:after="120"/>
    </w:pPr>
    <w:rPr>
      <w:rFonts w:cs="Arial"/>
      <w:i/>
      <w:iCs/>
      <w:sz w:val="24"/>
      <w:szCs w:val="24"/>
    </w:rPr>
  </w:style>
  <w:style w:type="paragraph" w:styleId="Indice" w:customStyle="1">
    <w:name w:val="Indice"/>
    <w:basedOn w:val="Normal"/>
    <w:qFormat/>
    <w:pPr>
      <w:suppressLineNumbers/>
    </w:pPr>
    <w:rPr>
      <w:rFonts w:cs="Mangal"/>
    </w:rPr>
  </w:style>
  <w:style w:type="paragraph" w:styleId="Titoloprincipale">
    <w:name w:val="Title"/>
    <w:basedOn w:val="Normal"/>
    <w:next w:val="Corpodeltesto"/>
    <w:uiPriority w:val="10"/>
    <w:qFormat/>
    <w:pPr>
      <w:keepNext w:val="true"/>
      <w:spacing w:before="240" w:after="120"/>
    </w:pPr>
    <w:rPr>
      <w:rFonts w:ascii="Liberation Sans" w:hAnsi="Liberation Sans" w:eastAsia="Microsoft YaHei" w:cs="Arial"/>
      <w:sz w:val="28"/>
      <w:szCs w:val="28"/>
    </w:rPr>
  </w:style>
  <w:style w:type="paragraph" w:styleId="Caption">
    <w:name w:val="caption"/>
    <w:basedOn w:val="Normal"/>
    <w:qFormat/>
    <w:pPr>
      <w:suppressLineNumbers/>
      <w:spacing w:before="120" w:after="120"/>
    </w:pPr>
    <w:rPr>
      <w:rFonts w:cs="Mangal"/>
      <w:i/>
      <w:iCs/>
    </w:rPr>
  </w:style>
  <w:style w:type="paragraph" w:styleId="LOnormal" w:customStyle="1">
    <w:name w:val="LO-normal"/>
    <w:qFormat/>
    <w:pPr>
      <w:widowControl/>
      <w:suppressAutoHyphens w:val="true"/>
      <w:bidi w:val="0"/>
      <w:spacing w:before="0" w:after="0"/>
      <w:jc w:val="left"/>
    </w:pPr>
    <w:rPr>
      <w:rFonts w:ascii="Calibri" w:hAnsi="Calibri" w:eastAsia="Calibri" w:cs="Calibri"/>
      <w:color w:val="00000A"/>
      <w:kern w:val="0"/>
      <w:sz w:val="24"/>
      <w:szCs w:val="24"/>
      <w:lang w:val="it-IT" w:eastAsia="zh-CN" w:bidi="hi-IN"/>
    </w:rPr>
  </w:style>
  <w:style w:type="paragraph" w:styleId="Titolo11" w:customStyle="1">
    <w:name w:val="Titolo1"/>
    <w:basedOn w:val="Normal"/>
    <w:qFormat/>
    <w:pPr>
      <w:keepNext w:val="true"/>
      <w:spacing w:before="240" w:after="120"/>
    </w:pPr>
    <w:rPr>
      <w:rFonts w:ascii="Liberation Sans" w:hAnsi="Liberation Sans" w:eastAsia="Microsoft YaHei" w:cs="Mangal"/>
      <w:sz w:val="28"/>
      <w:szCs w:val="28"/>
    </w:rPr>
  </w:style>
  <w:style w:type="paragraph" w:styleId="Standard" w:customStyle="1">
    <w:name w:val="Standard"/>
    <w:qFormat/>
    <w:pPr>
      <w:widowControl/>
      <w:suppressAutoHyphens w:val="true"/>
      <w:bidi w:val="0"/>
      <w:spacing w:before="0" w:after="0"/>
      <w:jc w:val="left"/>
      <w:textAlignment w:val="baseline"/>
    </w:pPr>
    <w:rPr>
      <w:rFonts w:ascii="Calibri" w:hAnsi="Calibri" w:eastAsia="Calibri" w:cs="Calibri"/>
      <w:color w:val="00000A"/>
      <w:kern w:val="0"/>
      <w:sz w:val="24"/>
      <w:szCs w:val="24"/>
      <w:lang w:val="it-IT" w:eastAsia="zh-CN" w:bidi="hi-IN"/>
    </w:rPr>
  </w:style>
  <w:style w:type="paragraph" w:styleId="Intestazioneepidipagina" w:customStyle="1">
    <w:name w:val="Intestazione e piè di pagina"/>
    <w:basedOn w:val="Standard"/>
    <w:qFormat/>
    <w:pPr>
      <w:suppressLineNumbers/>
    </w:pPr>
    <w:rPr/>
  </w:style>
  <w:style w:type="paragraph" w:styleId="Intestazione">
    <w:name w:val="Header"/>
    <w:basedOn w:val="Normal"/>
    <w:pPr/>
    <w:rPr/>
  </w:style>
  <w:style w:type="paragraph" w:styleId="Pidipagina">
    <w:name w:val="Footer"/>
    <w:basedOn w:val="Normal"/>
    <w:pPr/>
    <w:rPr/>
  </w:style>
  <w:style w:type="paragraph" w:styleId="NormalWeb">
    <w:name w:val="Normal (Web)"/>
    <w:basedOn w:val="Normal"/>
    <w:qFormat/>
    <w:pPr>
      <w:spacing w:before="100" w:after="100"/>
    </w:pPr>
    <w:rPr>
      <w:rFonts w:ascii="Times New Roman" w:hAnsi="Times New Roman" w:eastAsia="Times New Roman"/>
    </w:rPr>
  </w:style>
  <w:style w:type="paragraph" w:styleId="Default" w:customStyle="1">
    <w:name w:val="Default"/>
    <w:qFormat/>
    <w:pPr>
      <w:widowControl/>
      <w:suppressAutoHyphens w:val="true"/>
      <w:bidi w:val="0"/>
      <w:spacing w:before="0" w:after="0"/>
      <w:jc w:val="left"/>
      <w:textAlignment w:val="baseline"/>
    </w:pPr>
    <w:rPr>
      <w:rFonts w:ascii="Calibri" w:hAnsi="Calibri" w:eastAsia="Calibri" w:cs="Calibri"/>
      <w:color w:val="000000"/>
      <w:kern w:val="0"/>
      <w:sz w:val="24"/>
      <w:szCs w:val="24"/>
      <w:lang w:val="it-IT" w:eastAsia="zh-CN" w:bidi="hi-IN"/>
    </w:rPr>
  </w:style>
  <w:style w:type="paragraph" w:styleId="Contenutotabella" w:customStyle="1">
    <w:name w:val="Contenuto tabella"/>
    <w:basedOn w:val="Normal"/>
    <w:qFormat/>
    <w:pPr>
      <w:suppressLineNumbers/>
    </w:pPr>
    <w:rPr/>
  </w:style>
  <w:style w:type="paragraph" w:styleId="Titolotabella" w:customStyle="1">
    <w:name w:val="Titolo tabella"/>
    <w:basedOn w:val="Contenutotabella"/>
    <w:qFormat/>
    <w:pPr>
      <w:jc w:val="center"/>
    </w:pPr>
    <w:rPr>
      <w:b/>
      <w:bCs/>
    </w:rPr>
  </w:style>
  <w:style w:type="paragraph" w:styleId="BalloonText">
    <w:name w:val="Balloon Text"/>
    <w:basedOn w:val="Normal"/>
    <w:link w:val="TestofumettoCarattere"/>
    <w:uiPriority w:val="99"/>
    <w:semiHidden/>
    <w:unhideWhenUsed/>
    <w:qFormat/>
    <w:rsid w:val="00b63037"/>
    <w:pPr/>
    <w:rPr>
      <w:rFonts w:ascii="Tahoma" w:hAnsi="Tahoma" w:cs="Tahoma"/>
      <w:sz w:val="16"/>
      <w:szCs w:val="16"/>
    </w:rPr>
  </w:style>
  <w:style w:type="paragraph" w:styleId="Sottotitolo">
    <w:name w:val="Subtitle"/>
    <w:basedOn w:val="LO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hyperlink" Target="mailto:med.lavoro@aopd.veneto.it" TargetMode="Externa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9wzw4mKR5IWBIrPZwomzltEuZbw==">CgMxLjAyCWguMzBqMHpsbDIJaC4xZm9iOXRlMgloLjN6bnlzaDcyCWguMmV0OTJwMDIIaC50eWpjd3QyCWguM2R5NnZrbTIJaC4xdDNoNXNmMghoLmdqZGd4czgAciExU2M0OGJHNm1pbWhMSWFEZFVZT1BBRUVKb3ByLWYyMkk=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1349</TotalTime>
  <Application>LibreOffice/7.1.7.2$Windows_X86_64 LibreOffice_project/c6a4e3954236145e2acb0b65f68614365aeee33f</Application>
  <AppVersion>15.0000</AppVersion>
  <Pages>6</Pages>
  <Words>2236</Words>
  <Characters>14137</Characters>
  <CharactersWithSpaces>16312</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2023-12-21T11:18:00Z</dcterms:created>
  <dc:creator>Walter Milan</dc:creator>
  <dc:description/>
  <dc:language>it-IT</dc:language>
  <cp:lastModifiedBy/>
  <dcterms:modified xsi:type="dcterms:W3CDTF">2026-03-06T09:47:23Z</dcterms:modified>
  <cp:revision>66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