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项目立项包</w:t>
      </w:r>
    </w:p>
    <w:p>
      <w:pPr>
        <w:pStyle w:val="Subtitle"/>
      </w:pPr>
      <w:r>
        <w:t xml:space="preserve">order-service / order-export · v1</w:t>
      </w:r>
    </w:p>
    <w:p>
      <w:pPr>
        <w:pBdr>
          <w:bottom w:val="single" w:sz="6" w:space="1" w:color="2E74B5"/>
        </w:pBdr>
        <w:spacing w:after="120"/>
      </w:pPr>
    </w:p>
    <w:p>
      <w:pPr>
        <w:pStyle w:val="Normal"/>
      </w:pPr>
      <w:r>
        <w:rPr>
          <w:rStyle w:val="MetadataLabel"/>
        </w:rPr>
        <w:t>Repository · </w:t>
      </w:r>
      <w:r>
        <w:t xml:space="preserve">order-service</w:t>
      </w:r>
    </w:p>
    <w:p>
      <w:pPr>
        <w:pStyle w:val="Normal"/>
      </w:pPr>
      <w:r>
        <w:rPr>
          <w:rStyle w:val="MetadataLabel"/>
        </w:rPr>
        <w:t>Change summary · </w:t>
      </w:r>
      <w:r>
        <w:t xml:space="preserve">建立企业订单导出项目的标准化立项包。</w:t>
      </w:r>
    </w:p>
    <w:p>
      <w:pPr>
        <w:pStyle w:val="Normal"/>
      </w:pPr>
      <w:r>
        <w:rPr>
          <w:rStyle w:val="MetadataLabel"/>
        </w:rPr>
        <w:t>Definition hash · </w:t>
      </w:r>
      <w:r>
        <w:t xml:space="preserve">64c833e86ffad34393ed0d2e5aa869409202973544498b46f3a0c88c9e41d067</w:t>
      </w:r>
    </w:p>
    <w:p>
      <w:pPr>
        <w:pStyle w:val="Normal"/>
      </w:pPr>
      <w:r>
        <w:rPr>
          <w:rStyle w:val="MetadataLabel"/>
        </w:rPr>
        <w:t>Planning session · </w:t>
      </w:r>
      <w:r>
        <w:t xml:space="preserve">planning-order-export-001</w:t>
      </w:r>
    </w:p>
    <w:p>
      <w:pPr>
        <w:pStyle w:val="Normal"/>
      </w:pPr>
      <w:r>
        <w:rPr>
          <w:rStyle w:val="MetadataLabel"/>
        </w:rPr>
        <w:t>Created · </w:t>
      </w:r>
      <w:r>
        <w:t xml:space="preserve">2026-07-30 10:00 UTC by product-director</w:t>
      </w:r>
    </w:p>
    <w:p>
      <w:pPr>
        <w:pStyle w:val="Heading1"/>
      </w:pPr>
      <w:r>
        <w:t xml:space="preserve">追踪矩阵</w:t>
      </w:r>
    </w:p>
    <w:tbl>
      <w:tblPr>
        <w:tblW w:w="9360" w:type="dxa"/>
        <w:tblInd w:w="12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Borders>
          <w:top w:val="single" w:sz="4" w:color="B7C9DD"/>
          <w:left w:val="single" w:sz="4" w:color="B7C9DD"/>
          <w:bottom w:val="single" w:sz="4" w:color="B7C9DD"/>
          <w:right w:val="single" w:sz="4" w:color="B7C9DD"/>
          <w:insideH w:val="single" w:sz="4" w:color="D9E2F3"/>
          <w:insideV w:val="single" w:sz="4" w:color="D9E2F3"/>
        </w:tblBorders>
      </w:tblPr>
      <w:tblGrid>
        <w:gridCol w:w="720"/>
        <w:gridCol w:w="2300"/>
        <w:gridCol w:w="1250"/>
        <w:gridCol w:w="1250"/>
        <w:gridCol w:w="1250"/>
        <w:gridCol w:w="1250"/>
        <w:gridCol w:w="1340"/>
      </w:tblGrid>
      <w:tr>
        <w:trPr>
          <w:tblHeader/>
        </w:trPr>
        <w:tc>
          <w:tcPr>
            <w:tcW w:w="720" w:type="dxa"/>
            <w:shd w:val="clear" w:color="auto" w:fill="E8EEF5"/>
            <w:vAlign w:val="top"/>
          </w:tcPr>
          <w:p>
            <w:pPr>
              <w:pStyle w:val="TableHeader"/>
            </w:pPr>
            <w:r>
              <w:t xml:space="preserve">ID</w:t>
            </w:r>
          </w:p>
        </w:tc>
        <w:tc>
          <w:tcPr>
            <w:tcW w:w="2300" w:type="dxa"/>
            <w:shd w:val="clear" w:color="auto" w:fill="E8EEF5"/>
            <w:vAlign w:val="top"/>
          </w:tcPr>
          <w:p>
            <w:pPr>
              <w:pStyle w:val="TableHeader"/>
            </w:pPr>
            <w:r>
              <w:t xml:space="preserve">Requirement</w:t>
            </w:r>
          </w:p>
        </w:tc>
        <w:tc>
          <w:tcPr>
            <w:tcW w:w="1250" w:type="dxa"/>
            <w:shd w:val="clear" w:color="auto" w:fill="E8EEF5"/>
            <w:vAlign w:val="top"/>
          </w:tcPr>
          <w:p>
            <w:pPr>
              <w:pStyle w:val="TableHeader"/>
            </w:pPr>
            <w:r>
              <w:t xml:space="preserve">Architecture</w:t>
            </w:r>
          </w:p>
        </w:tc>
        <w:tc>
          <w:tcPr>
            <w:tcW w:w="1250" w:type="dxa"/>
            <w:shd w:val="clear" w:color="auto" w:fill="E8EEF5"/>
            <w:vAlign w:val="top"/>
          </w:tcPr>
          <w:p>
            <w:pPr>
              <w:pStyle w:val="TableHeader"/>
            </w:pPr>
            <w:r>
              <w:t xml:space="preserve">API</w:t>
            </w:r>
          </w:p>
        </w:tc>
        <w:tc>
          <w:tcPr>
            <w:tcW w:w="1250" w:type="dxa"/>
            <w:shd w:val="clear" w:color="auto" w:fill="E8EEF5"/>
            <w:vAlign w:val="top"/>
          </w:tcPr>
          <w:p>
            <w:pPr>
              <w:pStyle w:val="TableHeader"/>
            </w:pPr>
            <w:r>
              <w:t xml:space="preserve">Test</w:t>
            </w:r>
          </w:p>
        </w:tc>
        <w:tc>
          <w:tcPr>
            <w:tcW w:w="1250" w:type="dxa"/>
            <w:shd w:val="clear" w:color="auto" w:fill="E8EEF5"/>
            <w:vAlign w:val="top"/>
          </w:tcPr>
          <w:p>
            <w:pPr>
              <w:pStyle w:val="TableHeader"/>
            </w:pPr>
            <w:r>
              <w:t xml:space="preserve">Deployment</w:t>
            </w:r>
          </w:p>
        </w:tc>
        <w:tc>
          <w:tcPr>
            <w:tcW w:w="1340" w:type="dxa"/>
            <w:shd w:val="clear" w:color="auto" w:fill="E8EEF5"/>
            <w:vAlign w:val="top"/>
          </w:tcPr>
          <w:p>
            <w:pPr>
              <w:pStyle w:val="TableHeader"/>
            </w:pPr>
            <w:r>
              <w:t xml:space="preserve">Status</w:t>
            </w:r>
          </w:p>
        </w:tc>
      </w:tr>
      <w:tr>
        <w:tc>
          <w:tcPr>
            <w:tcW w:w="720" w:type="dxa"/>
            <w:vAlign w:val="top"/>
          </w:tcPr>
          <w:p>
            <w:pPr>
              <w:pStyle w:val="TableText"/>
            </w:pPr>
            <w:r>
              <w:t xml:space="preserve">REQ-001</w:t>
            </w:r>
          </w:p>
        </w:tc>
        <w:tc>
          <w:tcPr>
            <w:tcW w:w="2300" w:type="dxa"/>
            <w:vAlign w:val="top"/>
          </w:tcPr>
          <w:p>
            <w:pPr>
              <w:pStyle w:val="TableText"/>
            </w:pPr>
            <w:r>
              <w:t xml:space="preserve">运营人员可按授权范围导出订单。</w:t>
            </w:r>
          </w:p>
        </w:tc>
        <w:tc>
          <w:tcPr>
            <w:tcW w:w="1250" w:type="dxa"/>
            <w:vAlign w:val="top"/>
          </w:tcPr>
          <w:p>
            <w:pPr>
              <w:pStyle w:val="TableText"/>
            </w:pPr>
            <w:r>
              <w:t xml:space="preserve">总体设计</w:t>
            </w:r>
          </w:p>
        </w:tc>
        <w:tc>
          <w:tcPr>
            <w:tcW w:w="1250" w:type="dxa"/>
            <w:vAlign w:val="top"/>
          </w:tcPr>
          <w:p>
            <w:pPr>
              <w:pStyle w:val="TableText"/>
            </w:pPr>
            <w:r>
              <w:t xml:space="preserve">契约范围</w:t>
            </w:r>
          </w:p>
        </w:tc>
        <w:tc>
          <w:tcPr>
            <w:tcW w:w="1250" w:type="dxa"/>
            <w:vAlign w:val="top"/>
          </w:tcPr>
          <w:p>
            <w:pPr>
              <w:pStyle w:val="TableText"/>
            </w:pPr>
            <w:r>
              <w:t xml:space="preserve">验收测试</w:t>
            </w:r>
          </w:p>
        </w:tc>
        <w:tc>
          <w:tcPr>
            <w:tcW w:w="1250" w:type="dxa"/>
            <w:vAlign w:val="top"/>
          </w:tcPr>
          <w:p>
            <w:pPr>
              <w:pStyle w:val="TableText"/>
            </w:pPr>
            <w:r>
              <w:t xml:space="preserve">发布前提</w:t>
            </w:r>
          </w:p>
        </w:tc>
        <w:tc>
          <w:tcPr>
            <w:tcW w:w="1340" w:type="dxa"/>
            <w:vAlign w:val="top"/>
          </w:tcPr>
          <w:p>
            <w:pPr>
              <w:pStyle w:val="TableText"/>
            </w:pPr>
            <w:r>
              <w:t xml:space="preserve">covered</w:t>
            </w:r>
          </w:p>
        </w:tc>
      </w:tr>
      <w:tr>
        <w:tc>
          <w:tcPr>
            <w:tcW w:w="720" w:type="dxa"/>
            <w:vAlign w:val="top"/>
          </w:tcPr>
          <w:p>
            <w:pPr>
              <w:pStyle w:val="TableText"/>
            </w:pPr>
            <w:r>
              <w:t xml:space="preserve">REQ-002</w:t>
            </w:r>
          </w:p>
        </w:tc>
        <w:tc>
          <w:tcPr>
            <w:tcW w:w="2300" w:type="dxa"/>
            <w:vAlign w:val="top"/>
          </w:tcPr>
          <w:p>
            <w:pPr>
              <w:pStyle w:val="TableText"/>
            </w:pPr>
            <w:r>
              <w:t xml:space="preserve">导出任务必须可追踪。</w:t>
            </w:r>
          </w:p>
        </w:tc>
        <w:tc>
          <w:tcPr>
            <w:tcW w:w="1250" w:type="dxa"/>
            <w:vAlign w:val="top"/>
          </w:tcPr>
          <w:p>
            <w:pPr>
              <w:pStyle w:val="TableText"/>
            </w:pPr>
            <w:r>
              <w:t xml:space="preserve">总体设计</w:t>
            </w:r>
          </w:p>
        </w:tc>
        <w:tc>
          <w:tcPr>
            <w:tcW w:w="1250" w:type="dxa"/>
            <w:vAlign w:val="top"/>
          </w:tcPr>
          <w:p>
            <w:pPr>
              <w:pStyle w:val="TableText"/>
            </w:pPr>
            <w:r>
              <w:t xml:space="preserve">契约范围</w:t>
            </w:r>
          </w:p>
        </w:tc>
        <w:tc>
          <w:tcPr>
            <w:tcW w:w="1250" w:type="dxa"/>
            <w:vAlign w:val="top"/>
          </w:tcPr>
          <w:p>
            <w:pPr>
              <w:pStyle w:val="TableText"/>
            </w:pPr>
            <w:r>
              <w:t xml:space="preserve">验收测试</w:t>
            </w:r>
          </w:p>
        </w:tc>
        <w:tc>
          <w:tcPr>
            <w:tcW w:w="1250" w:type="dxa"/>
            <w:vAlign w:val="top"/>
          </w:tcPr>
          <w:p>
            <w:pPr>
              <w:pStyle w:val="TableText"/>
            </w:pPr>
            <w:r>
              <w:t xml:space="preserve">发布前提</w:t>
            </w:r>
          </w:p>
        </w:tc>
        <w:tc>
          <w:tcPr>
            <w:tcW w:w="1340" w:type="dxa"/>
            <w:vAlign w:val="top"/>
          </w:tcPr>
          <w:p>
            <w:pPr>
              <w:pStyle w:val="TableText"/>
            </w:pPr>
            <w:r>
              <w:t xml:space="preserve">covered</w:t>
            </w:r>
          </w:p>
        </w:tc>
      </w:tr>
    </w:tbl>
    <w:p>
      <w:pPr>
        <w:pStyle w:val="Heading1"/>
      </w:pPr>
      <w:r>
        <w:t xml:space="preserve">交付物</w:t>
      </w:r>
    </w:p>
    <w:p>
      <w:pPr>
        <w:pStyle w:val="Heading1"/>
      </w:pPr>
      <w:r>
        <w:t xml:space="preserve">PRD · 订单导出 PRD</w:t>
      </w:r>
    </w:p>
    <w:p>
      <w:pPr>
        <w:pStyle w:val="Normal"/>
      </w:pPr>
      <w:r>
        <w:t xml:space="preserve">定义可审计、可限流的订单导出能力。</w:t>
      </w:r>
    </w:p>
    <w:p>
      <w:pPr>
        <w:pStyle w:val="Heading2"/>
      </w:pPr>
      <w:r>
        <w:t xml:space="preserve">目标与价值</w:t>
      </w:r>
    </w:p>
    <w:p>
      <w:pPr>
        <w:pStyle w:val="Normal"/>
        <w:numPr>
          <w:ilvl w:val="0"/>
          <w:numId w:val="1"/>
        </w:numPr>
      </w:pPr>
      <w:r>
        <w:t xml:space="preserve">运营人员可按授权范围导出订单。</w:t>
      </w:r>
    </w:p>
    <w:p>
      <w:pPr>
        <w:pStyle w:val="Normal"/>
        <w:numPr>
          <w:ilvl w:val="0"/>
          <w:numId w:val="1"/>
        </w:numPr>
      </w:pPr>
      <w:r>
        <w:t xml:space="preserve">导出任务必须可追踪。</w:t>
      </w:r>
    </w:p>
    <w:p>
      <w:pPr>
        <w:pStyle w:val="Heading3"/>
      </w:pPr>
      <w:r>
        <w:t xml:space="preserve">References</w:t>
      </w:r>
    </w:p>
    <w:p>
      <w:pPr>
        <w:pStyle w:val="ReferenceText"/>
      </w:pPr>
      <w:r>
        <w:t xml:space="preserve">plan_standard:S1</w:t>
      </w:r>
    </w:p>
    <w:p>
      <w:pPr>
        <w:pStyle w:val="Heading1"/>
      </w:pPr>
      <w:r>
        <w:t xml:space="preserve">ARCHITECTURE · 订单导出架构方案</w:t>
      </w:r>
    </w:p>
    <w:p>
      <w:pPr>
        <w:pStyle w:val="Normal"/>
      </w:pPr>
      <w:r>
        <w:t xml:space="preserve">采用异步任务隔离大批量导出对在线交易的影响。</w:t>
      </w:r>
    </w:p>
    <w:p>
      <w:pPr>
        <w:pStyle w:val="Heading2"/>
      </w:pPr>
      <w:r>
        <w:t xml:space="preserve">总体设计</w:t>
      </w:r>
    </w:p>
    <w:p>
      <w:pPr>
        <w:pStyle w:val="Normal"/>
        <w:numPr>
          <w:ilvl w:val="0"/>
          <w:numId w:val="1"/>
        </w:numPr>
      </w:pPr>
      <w:r>
        <w:t xml:space="preserve">API 创建导出任务，Worker 生成文件，对象存储提供短期下载。</w:t>
      </w:r>
    </w:p>
    <w:p>
      <w:pPr>
        <w:pStyle w:val="Heading3"/>
      </w:pPr>
      <w:r>
        <w:t xml:space="preserve">References</w:t>
      </w:r>
    </w:p>
    <w:p>
      <w:pPr>
        <w:pStyle w:val="ReferenceText"/>
      </w:pPr>
      <w:r>
        <w:t xml:space="preserve">plan_standard:S1</w:t>
      </w:r>
    </w:p>
    <w:p>
      <w:pPr>
        <w:pStyle w:val="Heading1"/>
      </w:pPr>
      <w:r>
        <w:t xml:space="preserve">API · 订单导出 API 与契约</w:t>
      </w:r>
    </w:p>
    <w:p>
      <w:pPr>
        <w:pStyle w:val="Normal"/>
      </w:pPr>
      <w:r>
        <w:t xml:space="preserve">记录任务创建、状态查询和授权下载契约。</w:t>
      </w:r>
    </w:p>
    <w:p>
      <w:pPr>
        <w:pStyle w:val="Heading2"/>
      </w:pPr>
      <w:r>
        <w:t xml:space="preserve">契约范围</w:t>
      </w:r>
    </w:p>
    <w:p>
      <w:pPr>
        <w:pStyle w:val="Normal"/>
        <w:numPr>
          <w:ilvl w:val="0"/>
          <w:numId w:val="1"/>
        </w:numPr>
      </w:pPr>
      <w:r>
        <w:t xml:space="preserve">所有端点复用企业身份、项目授权和审计机制。</w:t>
      </w:r>
    </w:p>
    <w:p>
      <w:pPr>
        <w:pStyle w:val="Heading3"/>
      </w:pPr>
      <w:r>
        <w:t xml:space="preserve">References</w:t>
      </w:r>
    </w:p>
    <w:p>
      <w:pPr>
        <w:pStyle w:val="ReferenceText"/>
      </w:pPr>
      <w:r>
        <w:t xml:space="preserve">plan_standard:S1</w:t>
      </w:r>
    </w:p>
    <w:p>
      <w:pPr>
        <w:pStyle w:val="Heading1"/>
      </w:pPr>
      <w:r>
        <w:t xml:space="preserve">TEST · 订单导出测试方案</w:t>
      </w:r>
    </w:p>
    <w:p>
      <w:pPr>
        <w:pStyle w:val="Normal"/>
      </w:pPr>
      <w:r>
        <w:t xml:space="preserve">以业务验收、权限边界和容量基线形成发布证据。</w:t>
      </w:r>
    </w:p>
    <w:p>
      <w:pPr>
        <w:pStyle w:val="Heading2"/>
      </w:pPr>
      <w:r>
        <w:t xml:space="preserve">验收测试</w:t>
      </w:r>
    </w:p>
    <w:p>
      <w:pPr>
        <w:pStyle w:val="Normal"/>
        <w:numPr>
          <w:ilvl w:val="0"/>
          <w:numId w:val="1"/>
        </w:numPr>
      </w:pPr>
      <w:r>
        <w:t xml:space="preserve">验证授权范围、任务状态、过期下载和重复请求。</w:t>
      </w:r>
    </w:p>
    <w:p>
      <w:pPr>
        <w:pStyle w:val="Heading3"/>
      </w:pPr>
      <w:r>
        <w:t xml:space="preserve">References</w:t>
      </w:r>
    </w:p>
    <w:p>
      <w:pPr>
        <w:pStyle w:val="ReferenceText"/>
      </w:pPr>
      <w:r>
        <w:t xml:space="preserve">plan_standard:S1</w:t>
      </w:r>
    </w:p>
    <w:p>
      <w:pPr>
        <w:pStyle w:val="Heading1"/>
      </w:pPr>
      <w:r>
        <w:t xml:space="preserve">DEPLOYMENT · 订单导出部署与回滚方案</w:t>
      </w:r>
    </w:p>
    <w:p>
      <w:pPr>
        <w:pStyle w:val="Normal"/>
      </w:pPr>
      <w:r>
        <w:t xml:space="preserve">通过既有流水线分阶段发布。</w:t>
      </w:r>
    </w:p>
    <w:p>
      <w:pPr>
        <w:pStyle w:val="Heading2"/>
      </w:pPr>
      <w:r>
        <w:t xml:space="preserve">发布前提</w:t>
      </w:r>
    </w:p>
    <w:p>
      <w:pPr>
        <w:pStyle w:val="Normal"/>
        <w:numPr>
          <w:ilvl w:val="0"/>
          <w:numId w:val="1"/>
        </w:numPr>
      </w:pPr>
      <w:r>
        <w:t xml:space="preserve">迁移、配置、容量和回滚演练全部通过。</w:t>
      </w:r>
    </w:p>
    <w:p>
      <w:pPr>
        <w:pStyle w:val="Heading3"/>
      </w:pPr>
      <w:r>
        <w:t xml:space="preserve">References</w:t>
      </w:r>
    </w:p>
    <w:p>
      <w:pPr>
        <w:pStyle w:val="ReferenceText"/>
      </w:pPr>
      <w:r>
        <w:t xml:space="preserve">plan_standard:S1</w:t>
      </w:r>
    </w:p>
    <w:p>
      <w:pPr>
        <w:pStyle w:val="Heading1"/>
      </w:pPr>
      <w:r>
        <w:t xml:space="preserve">MONITORING · 订单导出监控方案</w:t>
      </w:r>
    </w:p>
    <w:p>
      <w:pPr>
        <w:pStyle w:val="Normal"/>
      </w:pPr>
      <w:r>
        <w:t xml:space="preserve">覆盖任务成功率、排队时间、生成耗时和失败原因。</w:t>
      </w:r>
    </w:p>
    <w:p>
      <w:pPr>
        <w:pStyle w:val="Heading2"/>
      </w:pPr>
      <w:r>
        <w:t xml:space="preserve">指标与告警</w:t>
      </w:r>
    </w:p>
    <w:p>
      <w:pPr>
        <w:pStyle w:val="Normal"/>
        <w:numPr>
          <w:ilvl w:val="0"/>
          <w:numId w:val="1"/>
        </w:numPr>
      </w:pPr>
      <w:r>
        <w:t xml:space="preserve">告警必须包含责任人、处置手册和升级路径。</w:t>
      </w:r>
    </w:p>
    <w:p>
      <w:pPr>
        <w:pStyle w:val="Heading3"/>
      </w:pPr>
      <w:r>
        <w:t xml:space="preserve">References</w:t>
      </w:r>
    </w:p>
    <w:p>
      <w:pPr>
        <w:pStyle w:val="ReferenceText"/>
      </w:pPr>
      <w:r>
        <w:t xml:space="preserve">plan_standard:S1</w:t>
      </w:r>
    </w:p>
    <w:p>
      <w:pPr>
        <w:pStyle w:val="Heading1"/>
      </w:pPr>
      <w:r>
        <w:t xml:space="preserve">RISK · 订单导出风险与决策记录</w:t>
      </w:r>
    </w:p>
    <w:p>
      <w:pPr>
        <w:pStyle w:val="Normal"/>
      </w:pPr>
      <w:r>
        <w:t xml:space="preserve">记录容量、隐私和下载凭证风险。</w:t>
      </w:r>
    </w:p>
    <w:p>
      <w:pPr>
        <w:pStyle w:val="Heading2"/>
      </w:pPr>
      <w:r>
        <w:t xml:space="preserve">风险与决策</w:t>
      </w:r>
    </w:p>
    <w:p>
      <w:pPr>
        <w:pStyle w:val="Normal"/>
        <w:numPr>
          <w:ilvl w:val="0"/>
          <w:numId w:val="1"/>
        </w:numPr>
      </w:pPr>
      <w:r>
        <w:t xml:space="preserve">使用异步队列、结果过期与一次性下载凭证降低风险。</w:t>
      </w:r>
    </w:p>
    <w:p>
      <w:pPr>
        <w:pStyle w:val="Heading3"/>
      </w:pPr>
      <w:r>
        <w:t xml:space="preserve">References</w:t>
      </w:r>
    </w:p>
    <w:p>
      <w:pPr>
        <w:pStyle w:val="ReferenceText"/>
      </w:pPr>
      <w:r>
        <w:t xml:space="preserve">plan_standard:S1</w:t>
      </w:r>
    </w:p>
    <w:p>
      <w:pPr>
        <w:pStyle w:val="Heading1"/>
      </w:pPr>
      <w:r>
        <w:t xml:space="preserve">产物评审记录</w:t>
      </w:r>
    </w:p>
    <w:tbl>
      <w:tblPr>
        <w:tblW w:w="9360" w:type="dxa"/>
        <w:tblInd w:w="12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Borders>
          <w:top w:val="single" w:sz="4" w:color="B7C9DD"/>
          <w:left w:val="single" w:sz="4" w:color="B7C9DD"/>
          <w:bottom w:val="single" w:sz="4" w:color="B7C9DD"/>
          <w:right w:val="single" w:sz="4" w:color="B7C9DD"/>
          <w:insideH w:val="single" w:sz="4" w:color="D9E2F3"/>
          <w:insideV w:val="single" w:sz="4" w:color="D9E2F3"/>
        </w:tblBorders>
      </w:tblPr>
      <w:tblGrid>
        <w:gridCol w:w="1200"/>
        <w:gridCol w:w="600"/>
        <w:gridCol w:w="1300"/>
        <w:gridCol w:w="1300"/>
        <w:gridCol w:w="1900"/>
        <w:gridCol w:w="3060"/>
      </w:tblGrid>
      <w:tr>
        <w:trPr>
          <w:tblHeader/>
        </w:trPr>
        <w:tc>
          <w:tcPr>
            <w:tcW w:w="1200" w:type="dxa"/>
            <w:shd w:val="clear" w:color="auto" w:fill="E8EEF5"/>
            <w:vAlign w:val="top"/>
          </w:tcPr>
          <w:p>
            <w:pPr>
              <w:pStyle w:val="TableHeader"/>
            </w:pPr>
            <w:r>
              <w:t xml:space="preserve">Artifact</w:t>
            </w:r>
          </w:p>
        </w:tc>
        <w:tc>
          <w:tcPr>
            <w:tcW w:w="600" w:type="dxa"/>
            <w:shd w:val="clear" w:color="auto" w:fill="E8EEF5"/>
            <w:vAlign w:val="top"/>
          </w:tcPr>
          <w:p>
            <w:pPr>
              <w:pStyle w:val="TableHeader"/>
            </w:pPr>
            <w:r>
              <w:t xml:space="preserve">Seq</w:t>
            </w:r>
          </w:p>
        </w:tc>
        <w:tc>
          <w:tcPr>
            <w:tcW w:w="1300" w:type="dxa"/>
            <w:shd w:val="clear" w:color="auto" w:fill="E8EEF5"/>
            <w:vAlign w:val="top"/>
          </w:tcPr>
          <w:p>
            <w:pPr>
              <w:pStyle w:val="TableHeader"/>
            </w:pPr>
            <w:r>
              <w:t xml:space="preserve">Decision</w:t>
            </w:r>
          </w:p>
        </w:tc>
        <w:tc>
          <w:tcPr>
            <w:tcW w:w="1300" w:type="dxa"/>
            <w:shd w:val="clear" w:color="auto" w:fill="E8EEF5"/>
            <w:vAlign w:val="top"/>
          </w:tcPr>
          <w:p>
            <w:pPr>
              <w:pStyle w:val="TableHeader"/>
            </w:pPr>
            <w:r>
              <w:t xml:space="preserve">Reviewer</w:t>
            </w:r>
          </w:p>
        </w:tc>
        <w:tc>
          <w:tcPr>
            <w:tcW w:w="1900" w:type="dxa"/>
            <w:shd w:val="clear" w:color="auto" w:fill="E8EEF5"/>
            <w:vAlign w:val="top"/>
          </w:tcPr>
          <w:p>
            <w:pPr>
              <w:pStyle w:val="TableHeader"/>
            </w:pPr>
            <w:r>
              <w:t xml:space="preserve">Reviewed at</w:t>
            </w:r>
          </w:p>
        </w:tc>
        <w:tc>
          <w:tcPr>
            <w:tcW w:w="3060" w:type="dxa"/>
            <w:shd w:val="clear" w:color="auto" w:fill="E8EEF5"/>
            <w:vAlign w:val="top"/>
          </w:tcPr>
          <w:p>
            <w:pPr>
              <w:pStyle w:val="TableHeader"/>
            </w:pPr>
            <w:r>
              <w:t xml:space="preserve">Comment</w:t>
            </w:r>
          </w:p>
        </w:tc>
      </w:tr>
      <w:tr>
        <w:tc>
          <w:tcPr>
            <w:tcW w:w="1200" w:type="dxa"/>
            <w:vAlign w:val="top"/>
          </w:tcPr>
          <w:p>
            <w:pPr>
              <w:pStyle w:val="TableText"/>
            </w:pPr>
            <w:r>
              <w:t xml:space="preserve">prd</w:t>
            </w:r>
          </w:p>
        </w:tc>
        <w:tc>
          <w:tcPr>
            <w:tcW w:w="600" w:type="dxa"/>
            <w:vAlign w:val="top"/>
          </w:tcPr>
          <w:p>
            <w:pPr>
              <w:pStyle w:val="TableText"/>
            </w:pPr>
            <w:r>
              <w:t xml:space="preserve">1</w:t>
            </w:r>
          </w:p>
        </w:tc>
        <w:tc>
          <w:tcPr>
            <w:tcW w:w="1300" w:type="dxa"/>
            <w:vAlign w:val="top"/>
          </w:tcPr>
          <w:p>
            <w:pPr>
              <w:pStyle w:val="TableText"/>
            </w:pPr>
            <w:r>
              <w:t xml:space="preserve">approve</w:t>
            </w:r>
          </w:p>
        </w:tc>
        <w:tc>
          <w:tcPr>
            <w:tcW w:w="1300" w:type="dxa"/>
            <w:vAlign w:val="top"/>
          </w:tcPr>
          <w:p>
            <w:pPr>
              <w:pStyle w:val="TableText"/>
            </w:pPr>
            <w:r>
              <w:t xml:space="preserve">product-director</w:t>
            </w:r>
          </w:p>
        </w:tc>
        <w:tc>
          <w:tcPr>
            <w:tcW w:w="1900" w:type="dxa"/>
            <w:vAlign w:val="top"/>
          </w:tcPr>
          <w:p>
            <w:pPr>
              <w:pStyle w:val="TableText"/>
            </w:pPr>
            <w:r>
              <w:t xml:space="preserve">2026-07-30 11:00 UTC</w:t>
            </w:r>
          </w:p>
        </w:tc>
        <w:tc>
          <w:tcPr>
            <w:tcW w:w="3060" w:type="dxa"/>
            <w:vAlign w:val="top"/>
          </w:tcPr>
          <w:p>
            <w:pPr>
              <w:pStyle w:val="TableText"/>
            </w:pPr>
            <w:r>
              <w:t xml:space="preserve">范围、验收标准和非目标已经确认。</w:t>
            </w:r>
          </w:p>
        </w:tc>
      </w:tr>
      <w:tr>
        <w:tc>
          <w:tcPr>
            <w:tcW w:w="1200" w:type="dxa"/>
            <w:vAlign w:val="top"/>
          </w:tcPr>
          <w:p>
            <w:pPr>
              <w:pStyle w:val="TableText"/>
            </w:pPr>
            <w:r>
              <w:t xml:space="preserve">architecture</w:t>
            </w:r>
          </w:p>
        </w:tc>
        <w:tc>
          <w:tcPr>
            <w:tcW w:w="600" w:type="dxa"/>
            <w:vAlign w:val="top"/>
          </w:tcPr>
          <w:p>
            <w:pPr>
              <w:pStyle w:val="TableText"/>
            </w:pPr>
            <w:r>
              <w:t xml:space="preserve">1</w:t>
            </w:r>
          </w:p>
        </w:tc>
        <w:tc>
          <w:tcPr>
            <w:tcW w:w="1300" w:type="dxa"/>
            <w:vAlign w:val="top"/>
          </w:tcPr>
          <w:p>
            <w:pPr>
              <w:pStyle w:val="TableText"/>
            </w:pPr>
            <w:r>
              <w:t xml:space="preserve">request_changes</w:t>
            </w:r>
          </w:p>
        </w:tc>
        <w:tc>
          <w:tcPr>
            <w:tcW w:w="1300" w:type="dxa"/>
            <w:vAlign w:val="top"/>
          </w:tcPr>
          <w:p>
            <w:pPr>
              <w:pStyle w:val="TableText"/>
            </w:pPr>
            <w:r>
              <w:t xml:space="preserve">tech-lead</w:t>
            </w:r>
          </w:p>
        </w:tc>
        <w:tc>
          <w:tcPr>
            <w:tcW w:w="1900" w:type="dxa"/>
            <w:vAlign w:val="top"/>
          </w:tcPr>
          <w:p>
            <w:pPr>
              <w:pStyle w:val="TableText"/>
            </w:pPr>
            <w:r>
              <w:t xml:space="preserve">2026-07-30 12:00 UTC</w:t>
            </w:r>
          </w:p>
        </w:tc>
        <w:tc>
          <w:tcPr>
            <w:tcW w:w="3060" w:type="dxa"/>
            <w:vAlign w:val="top"/>
          </w:tcPr>
          <w:p>
            <w:pPr>
              <w:pStyle w:val="TableText"/>
            </w:pPr>
            <w:r>
              <w:t xml:space="preserve">上线前补充队列容量压测证据。</w:t>
            </w:r>
          </w:p>
        </w:tc>
      </w:tr>
    </w:tbl>
    <w:sectPr>
      <w:headerReference w:type="default" r:id="rId1"/>
      <w:footerReference w:type="default" r:id="rId2"/>
      <w:pgSz w:w="12240" w:h="15840"/>
      <w:pgMar w:top="1440" w:right="1440" w:bottom="1440" w:left="1440" w:header="708" w:footer="708" w:gutter="0"/>
      <w:cols w:space="708"/>
      <w:docGrid w:linePitch="312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color w:val="6B7280"/>
        <w:sz w:val="16"/>
      </w:rPr>
      <w:fldChar w:fldCharType="begin"/>
    </w:r>
    <w:r>
      <w:instrText xml:space="preserve"> PAGE </w:instrText>
    </w:r>
    <w:r>
      <w:fldChar w:fldCharType="end"/>
    </w:r>
  </w:p>
</w:ftr>
</file>

<file path=word/header1.xml><?xml version="1.0" encoding="utf-8"?>
<w:hdr xmlns:w="http://schemas.openxmlformats.org/wordprocessingml/2006/main">
  <w:p>
    <w:pPr>
      <w:jc w:val="right"/>
      <w:spacing w:after="0"/>
    </w:pPr>
    <w:r>
      <w:rPr>
        <w:color w:val="6B7280"/>
        <w:sz w:val="16"/>
      </w:rPr>
      <w:t>EKBDA · order-service / order-export · v1</w:t>
    </w:r>
  </w:p>
</w:hdr>
</file>

<file path=word/numbering.xml><?xml version="1.0" encoding="utf-8"?>
<w:numbering xmlns:w="http://schemas.openxmlformats.org/wordprocessingml/2006/main">
  <w:abstractNum w:abstractNumId="1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Calibri" w:hAnsi="Calibri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Microsoft YaHei"/>
        <w:sz w:val="22"/>
        <w:szCs w:val="22"/>
        <w:lang w:val="en-US" w:eastAsia="zh-CN"/>
      </w:rPr>
    </w:rPrDefault>
    <w:pPrDefault>
      <w:pPr>
        <w:spacing w:after="120" w:line="300" w:lineRule="auto"/>
      </w:pPr>
    </w:pPrDefault>
  </w:docDefaults>
  <w:style w:type="paragraph" w:default="1" w:styleId="Normal">
    <w:name w:val="Normal"/>
    <w:qFormat/>
    <w:pPr>
      <w:spacing w:after="120" w:line="300" w:lineRule="auto"/>
    </w:pPr>
  </w:style>
  <w:style w:type="paragraph" w:styleId="Title">
    <w:name w:val="Title"/>
    <w:basedOn w:val="Normal"/>
    <w:next w:val="Subtitle"/>
    <w:qFormat/>
    <w:pPr>
      <w:spacing w:before="0" w:after="80"/>
      <w:keepNext/>
    </w:pPr>
    <w:rPr>
      <w:b/>
      <w:sz w:val="48"/>
      <w:szCs w:val="48"/>
    </w:rPr>
  </w:style>
  <w:style w:type="paragraph" w:styleId="Subtitle">
    <w:name w:val="Subtitle"/>
    <w:basedOn w:val="Normal"/>
    <w:next w:val="Normal"/>
    <w:qFormat/>
    <w:pPr>
      <w:spacing w:before="0" w:after="120"/>
      <w:keepNext/>
    </w:pPr>
    <w:rPr>
      <w:color w:val="6B7280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360" w:after="200"/>
      <w:outlineLvl w:val="0"/>
    </w:pPr>
    <w:rPr>
      <w:b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80" w:after="140"/>
      <w:outlineLvl w:val="1"/>
    </w:pPr>
    <w:rPr>
      <w:b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keepLines/>
      <w:spacing w:before="200" w:after="100"/>
      <w:outlineLvl w:val="2"/>
    </w:pPr>
    <w:rPr>
      <w:b/>
      <w:sz w:val="24"/>
      <w:szCs w:val="24"/>
    </w:rPr>
  </w:style>
  <w:style w:type="paragraph" w:styleId="ReferenceText">
    <w:name w:val="Reference Text"/>
    <w:basedOn w:val="Normal"/>
    <w:pPr>
      <w:spacing w:after="120" w:line="276" w:lineRule="auto"/>
    </w:pPr>
    <w:rPr>
      <w:color w:val="6B7280"/>
      <w:sz w:val="18"/>
      <w:szCs w:val="18"/>
    </w:rPr>
  </w:style>
  <w:style w:type="paragraph" w:styleId="TableText">
    <w:name w:val="Table Text"/>
    <w:basedOn w:val="Normal"/>
    <w:pPr>
      <w:spacing w:after="80" w:line="300" w:lineRule="auto"/>
    </w:pPr>
    <w:rPr>
      <w:sz w:val="18"/>
      <w:szCs w:val="18"/>
    </w:rPr>
  </w:style>
  <w:style w:type="paragraph" w:styleId="TableHeader">
    <w:name w:val="Table Header"/>
    <w:basedOn w:val="TableText"/>
    <w:rPr>
      <w:b/>
    </w:rPr>
  </w:style>
  <w:style w:type="character" w:styleId="MetadataLabel">
    <w:name w:val="Metadata Label"/>
    <w:rPr>
      <w:b/>
      <w:color w:val="2E74B5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header" Target="header1.xml"/><Relationship Id="rId2" Type="http://schemas.openxmlformats.org/officeDocument/2006/relationships/footer" Target="footer1.xml"/><Relationship Id="rId3" Type="http://schemas.openxmlformats.org/officeDocument/2006/relationships/styles" Target="styles.xml"/><Relationship Id="rId4" Type="http://schemas.openxmlformats.org/officeDocument/2006/relationships/numbering" Target="numbering.xml"/><Relationship Id="rId5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EKBDA</Application>
  <DocSecurity>0</DocSecurity>
  <ScaleCrop>false</ScaleCrop>
  <Company/>
  <LinksUpToDate>false</LinksUpToDate>
  <SharedDoc>false</SharedDoc>
  <HyperlinksChanged>false</HyperlinksChanged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order-export project package</dc:title>
  <dc:subject>Enterprise project package</dc:subject>
  <dc:creator/>
  <cp:keywords>project package;traceability;review</cp:keywords>
  <dc:description>建立企业订单导出项目的标准化立项包。</dc:description>
  <dcterms:created xsi:type="dcterms:W3CDTF">2026-07-30T10:00:00Z</dcterms:created>
  <dcterms:modified xsi:type="dcterms:W3CDTF">2026-07-30T10:00:00Z</dcterms:modified>
</cp:coreProperties>
</file>