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서울대 식품대사체학 연구실의 답변(2026-10-21)에 따라 두 파이프라인(기본 모델 예측, 사용자 모델)으로 등록하는 것을 제안합니다. 모듈별 입력·옵션·결과는 </w:t>
      </w:r>
      <w:r>
        <w:rPr>
          <w:color w:val="8A8F99"/>
          <w:sz w:val="18"/>
          <w:szCs w:val="18"/>
        </w:rPr>
        <w:t xml:space="preserve">docs/RTpred/modules/Registration.md</w:t>
      </w:r>
      <w:r>
        <w:rPr>
          <w:color w:val="8A8F99"/>
          <w:sz w:val="18"/>
          <w:szCs w:val="18"/>
        </w:rPr>
        <w:t xml:space="preserve">에 있습니다. 서울대 원문 자료는 </w:t>
      </w:r>
      <w:r>
        <w:rPr>
          <w:color w:val="8A8F99"/>
          <w:sz w:val="18"/>
          <w:szCs w:val="18"/>
        </w:rPr>
        <w:t xml:space="preserve">docs/RTpred/CONTENT_KO.md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기본 모델 예측</w:t>
            </w:r>
          </w:p>
        </w:tc>
        <w:tc>
          <w:tcPr>
            <w:tcW w:type="dxa" w:w="3853"/>
            <w:shd w:fill="E8EDF6" w:color="auto" w:val="clear"/>
            <w:tcMar>
              <w:top w:type="dxa" w:w="60"/>
              <w:left w:type="dxa" w:w="90"/>
              <w:bottom w:type="dxa" w:w="60"/>
              <w:right w:type="dxa" w:w="90"/>
            </w:tcMar>
          </w:tcPr>
          <w:p>
            <w:r>
              <w:rPr>
                <w:b/>
                <w:bCs/>
                <w:color w:val="32549C"/>
                <w:sz w:val="18"/>
                <w:szCs w:val="18"/>
              </w:rPr>
              <w:t xml:space="preserve">사용자 모델</w:t>
            </w:r>
          </w:p>
        </w:tc>
      </w:tr>
      <w:tr>
        <w:tc>
          <w:tcPr>
            <w:tcW w:type="dxa" w:w="1800"/>
            <w:tcMar>
              <w:top w:type="dxa" w:w="60"/>
              <w:left w:type="dxa" w:w="90"/>
              <w:bottom w:type="dxa" w:w="60"/>
              <w:right w:type="dxa" w:w="90"/>
            </w:tcMar>
          </w:tcPr>
          <w:p>
            <w:r>
              <w:rPr>
                <w:sz w:val="18"/>
                <w:szCs w:val="18"/>
              </w:rPr>
              <w:t xml:space="preserve">Pipeline Name</w:t>
            </w:r>
          </w:p>
        </w:tc>
        <w:tc>
          <w:tcPr>
            <w:tcW w:type="dxa" w:w="3853"/>
            <w:tcMar>
              <w:top w:type="dxa" w:w="60"/>
              <w:left w:type="dxa" w:w="90"/>
              <w:bottom w:type="dxa" w:w="60"/>
              <w:right w:type="dxa" w:w="90"/>
            </w:tcMar>
          </w:tcPr>
          <w:p>
            <w:r>
              <w:rPr>
                <w:sz w:val="18"/>
                <w:szCs w:val="18"/>
              </w:rPr>
              <w:t xml:space="preserve">RTpred_Default_Prediction</w:t>
            </w:r>
          </w:p>
        </w:tc>
        <w:tc>
          <w:tcPr>
            <w:tcW w:type="dxa" w:w="3853"/>
            <w:tcMar>
              <w:top w:type="dxa" w:w="60"/>
              <w:left w:type="dxa" w:w="90"/>
              <w:bottom w:type="dxa" w:w="60"/>
              <w:right w:type="dxa" w:w="90"/>
            </w:tcMar>
          </w:tcPr>
          <w:p>
            <w:r>
              <w:rPr>
                <w:sz w:val="18"/>
                <w:szCs w:val="18"/>
              </w:rPr>
              <w:t xml:space="preserve">RTpred_User_Model</w:t>
            </w:r>
          </w:p>
        </w:tc>
      </w:tr>
      <w:tr>
        <w:tc>
          <w:tcPr>
            <w:tcW w:type="dxa" w:w="1800"/>
            <w:tcMar>
              <w:top w:type="dxa" w:w="60"/>
              <w:left w:type="dxa" w:w="90"/>
              <w:bottom w:type="dxa" w:w="60"/>
              <w:right w:type="dxa" w:w="90"/>
            </w:tcMar>
          </w:tcPr>
          <w:p>
            <w:r>
              <w:rPr>
                <w:sz w:val="18"/>
                <w:szCs w:val="18"/>
              </w:rPr>
              <w:t xml:space="preserve">구성 모듈</w:t>
            </w:r>
          </w:p>
        </w:tc>
        <w:tc>
          <w:tcPr>
            <w:tcW w:type="dxa" w:w="3853"/>
            <w:tcMar>
              <w:top w:type="dxa" w:w="60"/>
              <w:left w:type="dxa" w:w="90"/>
              <w:bottom w:type="dxa" w:w="60"/>
              <w:right w:type="dxa" w:w="90"/>
            </w:tcMar>
          </w:tcPr>
          <w:p>
            <w:r>
              <w:rPr>
                <w:sz w:val="18"/>
                <w:szCs w:val="18"/>
              </w:rPr>
              <w:t xml:space="preserve">rtpred_predict</w:t>
            </w:r>
          </w:p>
        </w:tc>
        <w:tc>
          <w:tcPr>
            <w:tcW w:type="dxa" w:w="3853"/>
            <w:tcMar>
              <w:top w:type="dxa" w:w="60"/>
              <w:left w:type="dxa" w:w="90"/>
              <w:bottom w:type="dxa" w:w="60"/>
              <w:right w:type="dxa" w:w="90"/>
            </w:tcMar>
          </w:tcPr>
          <w:p>
            <w:r>
              <w:rPr>
                <w:sz w:val="18"/>
                <w:szCs w:val="18"/>
              </w:rPr>
              <w:t xml:space="preserve">rtpred_train, rtpred_predict, rtpred_compare</w:t>
            </w:r>
          </w:p>
        </w:tc>
      </w:tr>
      <w:tr>
        <w:tc>
          <w:tcPr>
            <w:tcW w:type="dxa" w:w="1800"/>
            <w:tcMar>
              <w:top w:type="dxa" w:w="60"/>
              <w:left w:type="dxa" w:w="90"/>
              <w:bottom w:type="dxa" w:w="60"/>
              <w:right w:type="dxa" w:w="90"/>
            </w:tcMar>
          </w:tcPr>
          <w:p>
            <w:r>
              <w:rPr>
                <w:sz w:val="18"/>
                <w:szCs w:val="18"/>
              </w:rPr>
              <w:t xml:space="preserve">Version</w:t>
            </w:r>
          </w:p>
        </w:tc>
        <w:tc>
          <w:tcPr>
            <w:tcW w:type="dxa" w:w="3853"/>
            <w:tcMar>
              <w:top w:type="dxa" w:w="60"/>
              <w:left w:type="dxa" w:w="90"/>
              <w:bottom w:type="dxa" w:w="60"/>
              <w:right w:type="dxa" w:w="90"/>
            </w:tcMar>
          </w:tcPr>
          <w:p>
            <w:r>
              <w:rPr>
                <w:sz w:val="18"/>
                <w:szCs w:val="18"/>
              </w:rPr>
              <w:t xml:space="preserve">1.0 (CLOSHA 3.0 첫 배포)</w:t>
            </w:r>
          </w:p>
        </w:tc>
        <w:tc>
          <w:tcPr>
            <w:tcW w:type="dxa" w:w="3853"/>
            <w:tcMar>
              <w:top w:type="dxa" w:w="60"/>
              <w:left w:type="dxa" w:w="90"/>
              <w:bottom w:type="dxa" w:w="60"/>
              <w:right w:type="dxa" w:w="90"/>
            </w:tcMar>
          </w:tcPr>
          <w:p>
            <w:r>
              <w:rPr>
                <w:sz w:val="18"/>
                <w:szCs w:val="18"/>
              </w:rPr>
              <w:t xml:space="preserve">1.0 (CLOSHA 3.0 첫 배포)</w:t>
            </w:r>
          </w:p>
        </w:tc>
      </w:tr>
      <w:tr>
        <w:tc>
          <w:tcPr>
            <w:tcW w:type="dxa" w:w="1800"/>
            <w:tcMar>
              <w:top w:type="dxa" w:w="60"/>
              <w:left w:type="dxa" w:w="90"/>
              <w:bottom w:type="dxa" w:w="60"/>
              <w:right w:type="dxa" w:w="90"/>
            </w:tcMar>
          </w:tcPr>
          <w:p>
            <w:r>
              <w:rPr>
                <w:sz w:val="18"/>
                <w:szCs w:val="18"/>
              </w:rPr>
              <w:t xml:space="preserve">Reference</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r>
              <w:rPr>
                <w:sz w:val="18"/>
                <w:szCs w:val="18"/>
              </w:rPr>
              <w:t xml:space="preserve">https://doi.org/10.1021/acs.analchem.9b05765</w:t>
            </w:r>
          </w:p>
        </w:tc>
      </w:tr>
      <w:tr>
        <w:tc>
          <w:tcPr>
            <w:tcW w:type="dxa" w:w="1800"/>
            <w:tcMar>
              <w:top w:type="dxa" w:w="60"/>
              <w:left w:type="dxa" w:w="90"/>
              <w:bottom w:type="dxa" w:w="60"/>
              <w:right w:type="dxa" w:w="90"/>
            </w:tcMar>
          </w:tcPr>
          <w:p>
            <w:r>
              <w:rPr>
                <w:sz w:val="18"/>
                <w:szCs w:val="18"/>
              </w:rPr>
              <w:t xml:space="preserve">Keyword(태그)</w:t>
            </w:r>
          </w:p>
        </w:tc>
        <w:tc>
          <w:tcPr>
            <w:tcW w:type="dxa" w:w="3853"/>
            <w:tcMar>
              <w:top w:type="dxa" w:w="60"/>
              <w:left w:type="dxa" w:w="90"/>
              <w:bottom w:type="dxa" w:w="60"/>
              <w:right w:type="dxa" w:w="90"/>
            </w:tcMar>
          </w:tcPr>
          <w:p>
            <w:r>
              <w:rPr>
                <w:sz w:val="18"/>
                <w:szCs w:val="18"/>
              </w:rPr>
              <w:t xml:space="preserve">retention time prediction, metabolomics, untargeted metabolomics, metabolite annotation, LC-MS, reversed phase, HILIC, machine learning, cheminformatics</w:t>
            </w:r>
          </w:p>
        </w:tc>
        <w:tc>
          <w:tcPr>
            <w:tcW w:type="dxa" w:w="3853"/>
            <w:tcMar>
              <w:top w:type="dxa" w:w="60"/>
              <w:left w:type="dxa" w:w="90"/>
              <w:bottom w:type="dxa" w:w="60"/>
              <w:right w:type="dxa" w:w="90"/>
            </w:tcMar>
          </w:tcPr>
          <w:p>
            <w:r>
              <w:rPr>
                <w:sz w:val="18"/>
                <w:szCs w:val="18"/>
              </w:rPr>
              <w:t xml:space="preserve">같음 + model training, model comparison</w:t>
            </w:r>
          </w:p>
        </w:tc>
      </w:tr>
      <w:tr>
        <w:tc>
          <w:tcPr>
            <w:tcW w:type="dxa" w:w="1800"/>
            <w:tcMar>
              <w:top w:type="dxa" w:w="60"/>
              <w:left w:type="dxa" w:w="90"/>
              <w:bottom w:type="dxa" w:w="60"/>
              <w:right w:type="dxa" w:w="90"/>
            </w:tcMar>
          </w:tcPr>
          <w:p>
            <w:r>
              <w:rPr>
                <w:sz w:val="18"/>
                <w:szCs w:val="18"/>
              </w:rPr>
              <w:t xml:space="preserve">대분류 / 중분류</w:t>
            </w:r>
          </w:p>
        </w:tc>
        <w:tc>
          <w:tcPr>
            <w:tcW w:type="dxa" w:w="3853"/>
            <w:tcMar>
              <w:top w:type="dxa" w:w="60"/>
              <w:left w:type="dxa" w:w="90"/>
              <w:bottom w:type="dxa" w:w="60"/>
              <w:right w:type="dxa" w:w="90"/>
            </w:tcMar>
          </w:tcPr>
          <w:p>
            <w:r>
              <w:rPr>
                <w:sz w:val="18"/>
                <w:szCs w:val="18"/>
              </w:rPr>
              <w:t xml:space="preserve">Metabolomics / Cheminformatics (서울대 제안 "대사체 분석 / 화학정보학 / 머신러닝"을 옮김. 머신러닝은 Keyword로)</w:t>
            </w:r>
          </w:p>
        </w:tc>
        <w:tc>
          <w:tcPr>
            <w:tcW w:type="dxa" w:w="3853"/>
            <w:tcMar>
              <w:top w:type="dxa" w:w="60"/>
              <w:left w:type="dxa" w:w="90"/>
              <w:bottom w:type="dxa" w:w="60"/>
              <w:right w:type="dxa" w:w="90"/>
            </w:tcMar>
          </w:tcPr>
          <w:p>
            <w:r>
              <w:rPr>
                <w:sz w:val="18"/>
                <w:szCs w:val="18"/>
              </w:rPr>
              <w:t xml:space="preserve">같음</w:t>
            </w:r>
          </w:p>
        </w:tc>
      </w:tr>
      <w:tr>
        <w:tc>
          <w:tcPr>
            <w:tcW w:type="dxa" w:w="1800"/>
            <w:tcMar>
              <w:top w:type="dxa" w:w="60"/>
              <w:left w:type="dxa" w:w="90"/>
              <w:bottom w:type="dxa" w:w="60"/>
              <w:right w:type="dxa" w:w="90"/>
            </w:tcMar>
          </w:tcPr>
          <w:p>
            <w:r>
              <w:rPr>
                <w:sz w:val="18"/>
                <w:szCs w:val="18"/>
              </w:rPr>
              <w:t xml:space="preserve">대표 이미지</w:t>
            </w:r>
          </w:p>
        </w:tc>
        <w:tc>
          <w:tcPr>
            <w:tcW w:type="dxa" w:w="3853"/>
            <w:tcMar>
              <w:top w:type="dxa" w:w="60"/>
              <w:left w:type="dxa" w:w="90"/>
              <w:bottom w:type="dxa" w:w="60"/>
              <w:right w:type="dxa" w:w="90"/>
            </w:tcMar>
          </w:tcPr>
          <w:p>
            <w:r>
              <w:rPr>
                <w:sz w:val="18"/>
                <w:szCs w:val="18"/>
              </w:rPr>
              <w:t xml:space="preserve">rtpred_predict 결과 그림(</w:t>
            </w:r>
            <w:r>
              <w:rPr>
                <w:sz w:val="18"/>
                <w:szCs w:val="18"/>
              </w:rPr>
              <w:t xml:space="preserve">docs/RTpred/images/module1_result.png</w:t>
            </w:r>
            <w:r>
              <w:rPr>
                <w:sz w:val="18"/>
                <w:szCs w:val="18"/>
              </w:rPr>
              <w:t xml:space="preserve">)</w:t>
            </w:r>
          </w:p>
        </w:tc>
        <w:tc>
          <w:tcPr>
            <w:tcW w:type="dxa" w:w="3853"/>
            <w:tcMar>
              <w:top w:type="dxa" w:w="60"/>
              <w:left w:type="dxa" w:w="90"/>
              <w:bottom w:type="dxa" w:w="60"/>
              <w:right w:type="dxa" w:w="90"/>
            </w:tcMar>
          </w:tcPr>
          <w:p>
            <w:r>
              <w:rPr>
                <w:sz w:val="18"/>
                <w:szCs w:val="18"/>
              </w:rPr>
              <w:t xml:space="preserve">rtpred_compare 결과 그림(</w:t>
            </w:r>
            <w:r>
              <w:rPr>
                <w:sz w:val="18"/>
                <w:szCs w:val="18"/>
              </w:rPr>
              <w:t xml:space="preserve">docs/RTpred/images/module3_result.png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 (기본 모델 예측)</w:t>
      </w:r>
    </w:p>
    <w:p>
      <w:pPr>
        <w:spacing w:after="140"/>
      </w:pPr>
      <w:r>
        <w:t xml:space="preserve">RTpred 기본 모델 예측 파이프라인은 화합물 구조(SMILES)만으로 액체크로마토그래피의 머무름 시간(RT)을 예측하는 분석 도구입니다. 화합물 표를 입력하면 RDKit으로 구조 특성(descriptor)을 계산하고, 이미지에 들어 있는 사전 학습 RP(역상)·HILIC 기본 모델로 화합물마다 RT를 예측합니다. 비표적 대사체 분석에서 같은 질량을 가진 후보 화합물 가운데 측정 RT와 예측 RT가 맞는 것을 고르는 데 쓸 수 있습니다.</w:t>
      </w:r>
    </w:p>
    <w:p>
      <w:pPr>
        <w:spacing w:after="100" w:before="200"/>
      </w:pPr>
      <w:r>
        <w:rPr>
          <w:b/>
          <w:bCs/>
          <w:color w:val="3A3A3A"/>
          <w:sz w:val="24"/>
          <w:szCs w:val="24"/>
        </w:rPr>
        <w:t xml:space="preserve">English (default prediction)</w:t>
      </w:r>
    </w:p>
    <w:p>
      <w:pPr>
        <w:spacing w:after="140"/>
      </w:pPr>
      <w:r>
        <w:t xml:space="preserve">The RTpred default prediction pipeline predicts liquid chromatography retention time (RT) from compound structures (SMILES) alone. From a compound table it computes RDKit structure descriptors and predicts the RT of each compound with the pre-trained RP (reversed phase) and HILIC default models bundled in the image. In untargeted metabolomics it helps to choose, among candidates of the same mass, those whose predicted RT matches the measured RT.</w:t>
      </w:r>
    </w:p>
    <w:p>
      <w:pPr>
        <w:spacing w:after="100" w:before="200"/>
      </w:pPr>
      <w:r>
        <w:rPr>
          <w:b/>
          <w:bCs/>
          <w:color w:val="3A3A3A"/>
          <w:sz w:val="24"/>
          <w:szCs w:val="24"/>
        </w:rPr>
        <w:t xml:space="preserve">국문 (사용자 모델)</w:t>
      </w:r>
    </w:p>
    <w:p>
      <w:pPr>
        <w:spacing w:after="140"/>
      </w:pPr>
      <w:r>
        <w:t xml:space="preserve">RTpred 사용자 모델 파이프라인은 사용자가 자기 LC 조건에서 측정한 RT 표로 RT 예측 모델을 직접 학습하고, 그 모델로 예측하며, 기본 모델과 성능을 비교하는 분석 도구입니다. 학습 표를 구조 단위로 train, validation, 예약 test로 나눠 AutoGluon 후보 모델을 학습하고 validation 오차로 best 모델을 고릅니다. 학습한 모델로 새 화합물의 RT를 예측하고, 학습에 쓰지 않은 예약 test 화합물에서 기본 모델과 사용자 모델의 RMSE, MAE, R²를 비교합니다.</w:t>
      </w:r>
    </w:p>
    <w:p>
      <w:pPr>
        <w:spacing w:after="100" w:before="200"/>
      </w:pPr>
      <w:r>
        <w:rPr>
          <w:b/>
          <w:bCs/>
          <w:color w:val="3A3A3A"/>
          <w:sz w:val="24"/>
          <w:szCs w:val="24"/>
        </w:rPr>
        <w:t xml:space="preserve">English (user model)</w:t>
      </w:r>
    </w:p>
    <w:p>
      <w:pPr>
        <w:spacing w:after="140"/>
      </w:pPr>
      <w:r>
        <w:t xml:space="preserve">The RTpred user model pipeline trains an RT prediction model from retention times measured under the user's own LC conditions, predicts with it, and compares it with the default model. The training table is split by structure into train, validation and a reserved test, AutoGluon candidate models are trained, and the best is chosen by validation error. The trained model predicts the RT of new compounds, and the default and user models are compared by RMSE, MAE and R² on reserved test compounds that were not used in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docs/RTpred/pipeline/figures/pipeline_default.png</w:t>
      </w:r>
      <w:r>
        <w:rPr>
          <w:color w:val="8A8F99"/>
          <w:sz w:val="18"/>
          <w:szCs w:val="18"/>
        </w:rPr>
        <w:t xml:space="preserve"> (기본 모델 예측, 원본 </w:t>
      </w:r>
      <w:r>
        <w:rPr>
          <w:color w:val="8A8F99"/>
          <w:sz w:val="18"/>
          <w:szCs w:val="18"/>
        </w:rPr>
        <w:t xml:space="preserve">pipeline_default.svg</w:t>
      </w:r>
      <w:r>
        <w:rPr>
          <w:color w:val="8A8F99"/>
          <w:sz w:val="18"/>
          <w:szCs w:val="18"/>
        </w:rPr>
        <w:t xml:space="preserve">)</w:t>
      </w:r>
    </w:p>
    <w:p>
      <w:pPr>
        <w:spacing w:after="12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193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docs/RTpred/pipeline/figures/pipeline_user_model.png</w:t>
      </w:r>
      <w:r>
        <w:rPr>
          <w:color w:val="8A8F99"/>
          <w:sz w:val="18"/>
          <w:szCs w:val="18"/>
        </w:rPr>
        <w:t xml:space="preserve"> (사용자 모델, 원본 </w:t>
      </w:r>
      <w:r>
        <w:rPr>
          <w:color w:val="8A8F99"/>
          <w:sz w:val="18"/>
          <w:szCs w:val="18"/>
        </w:rPr>
        <w:t xml:space="preserve">pipeline_user_model.svg</w:t>
      </w:r>
      <w:r>
        <w:rPr>
          <w:color w:val="8A8F99"/>
          <w:sz w:val="18"/>
          <w:szCs w:val="18"/>
        </w:rPr>
        <w:t xml:space="preserve">)</w:t>
      </w:r>
    </w:p>
    <w:p>
      <w:pPr>
        <w:spacing w:after="120" w:before="120"/>
        <w:jc w:val="center"/>
      </w:pPr>
      <w:r>
        <w:drawing>
          <wp:inline distT="0" distB="0" distL="0" distR="0">
            <wp:extent cx="57150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흐름도(docs/RTpred/images/pipeline_flow.png)는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국문(기본 모델 예측): RTpred 기본 모델 예측 흐름도. 화합물 표(SMILES)가 이미지 안 기본 RP·HILIC 모델과 함께 rtpred_predict로 들어가 예측표와 그림, 보고서가 만들어짐.</w:t>
      </w:r>
    </w:p>
    <w:p>
      <w:pPr>
        <w:pStyle w:val="ListParagraph"/>
        <w:numPr>
          <w:ilvl w:val="0"/>
          <w:numId w:val="2"/>
        </w:numPr>
        <w:spacing w:after="80"/>
      </w:pPr>
      <w:r>
        <w:t xml:space="preserve">English (default prediction): RTpred default prediction workflow: a compound table (SMILES) goes into rtpred_predict with the bundled RP and HILIC models, producing a prediction table, plots and a report.</w:t>
      </w:r>
    </w:p>
    <w:p>
      <w:pPr>
        <w:pStyle w:val="ListParagraph"/>
        <w:numPr>
          <w:ilvl w:val="0"/>
          <w:numId w:val="2"/>
        </w:numPr>
        <w:spacing w:after="80"/>
      </w:pPr>
      <w:r>
        <w:t xml:space="preserve">국문(사용자 모델): RTpred 사용자 모델 흐름도. 측정 RT 표로 rtpred_train이 모델을 학습하고, 학습 결과 폴더가 rtpred_predict(새 화합물 예측)와 rtpred_compare(예약 test로 기본 모델과 비교)로 각각 이어짐.</w:t>
      </w:r>
    </w:p>
    <w:p>
      <w:pPr>
        <w:pStyle w:val="ListParagraph"/>
        <w:numPr>
          <w:ilvl w:val="0"/>
          <w:numId w:val="2"/>
        </w:numPr>
        <w:spacing w:after="80"/>
      </w:pPr>
      <w:r>
        <w:t xml:space="preserve">English (user model): RTpred user model workflow: rtpred_train learns a model from a measured RT table, and its output folder feeds rtpred_predict (prediction of new compounds) and rtpred_compare (comparison with the default model on the reserved test).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docs/RTpred/pipeline/figures/concept.png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HILIC이며, 입력 표의 model_type 열(행마다 RP 또는 HILIC)로 정합니다.</w:t>
      </w:r>
      <w:r>
        <w:t xml:space="preserve"> 세 모듈 모두 이 열이 필요하고,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 set per row in the model_type column of the input table.</w:t>
      </w:r>
      <w:r>
        <w:t xml:space="preserve"> All three modules need this column, and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b316a8a5272587d8621a5288cc4fa9203f54f7.png"/><Relationship Id="rId8" Type="http://schemas.openxmlformats.org/officeDocument/2006/relationships/image" Target="media/f5a77910018ad782095f7fa45cb159674e394003.png"/><Relationship Id="rId9" Type="http://schemas.openxmlformats.org/officeDocument/2006/relationships/image" Target="media/9880cfdebf32aa8cc7669a22bba90c89126a6b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2026-10-23T07:45:41.858Z</dcterms:created>
  <dcterms:modified xsi:type="dcterms:W3CDTF">2026-10-23T07:45:41.858Z</dcterms:modified>
</cp:coreProperties>
</file>

<file path=docProps/custom.xml><?xml version="1.0" encoding="utf-8"?>
<Properties xmlns="http://schemas.openxmlformats.org/officeDocument/2006/custom-properties" xmlns:vt="http://schemas.openxmlformats.org/officeDocument/2006/docPropsVTypes"/>
</file>