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364A61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364A61" w:rsidRPr="00A56BF2" w:rsidRDefault="00A4472D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 xml:space="preserve">Expansion Board </w:t>
      </w:r>
      <w:r w:rsidR="00AC33B5">
        <w:rPr>
          <w:color w:val="808080" w:themeColor="background1" w:themeShade="80"/>
          <w:sz w:val="52"/>
          <w:szCs w:val="52"/>
          <w:u w:val="single"/>
        </w:rPr>
        <w:t>Quad (EB111</w:t>
      </w:r>
      <w:r w:rsidR="00BB3FC9">
        <w:rPr>
          <w:color w:val="808080" w:themeColor="background1" w:themeShade="80"/>
          <w:sz w:val="52"/>
          <w:szCs w:val="52"/>
          <w:u w:val="single"/>
        </w:rPr>
        <w:t>)</w:t>
      </w:r>
    </w:p>
    <w:p w:rsidR="004F09A2" w:rsidRPr="00CB6F4E" w:rsidRDefault="00771399" w:rsidP="00C57D9E">
      <w:pPr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br w:type="page"/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814DE5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Major Rev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Minor Rev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814DE5">
        <w:trPr>
          <w:trHeight w:val="300"/>
        </w:trPr>
        <w:tc>
          <w:tcPr>
            <w:tcW w:w="1668" w:type="dxa"/>
            <w:shd w:val="clear" w:color="auto" w:fill="DBE5F1" w:themeFill="accent1" w:themeFillTint="33"/>
            <w:hideMark/>
          </w:tcPr>
          <w:p w:rsidR="00C57D9E" w:rsidRPr="00C57D9E" w:rsidRDefault="006C6DA5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r>
              <w:rPr>
                <w:color w:val="000000" w:themeColor="text1"/>
                <w:sz w:val="24"/>
                <w:szCs w:val="24"/>
              </w:rPr>
              <w:t>Internal</w:t>
            </w:r>
          </w:p>
        </w:tc>
        <w:tc>
          <w:tcPr>
            <w:tcW w:w="3402" w:type="dxa"/>
            <w:shd w:val="clear" w:color="auto" w:fill="DBE5F1" w:themeFill="accent1" w:themeFillTint="33"/>
            <w:hideMark/>
          </w:tcPr>
          <w:p w:rsidR="00C57D9E" w:rsidRPr="00A4472D" w:rsidRDefault="00521C80" w:rsidP="006C6DA5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A4472D">
              <w:rPr>
                <w:color w:val="000000" w:themeColor="text1"/>
                <w:sz w:val="24"/>
                <w:szCs w:val="24"/>
                <w:lang w:val="en-US"/>
              </w:rPr>
              <w:t xml:space="preserve">Mercury </w:t>
            </w:r>
            <w:r w:rsidR="00A56BF2" w:rsidRPr="00A4472D">
              <w:rPr>
                <w:color w:val="000000" w:themeColor="text1"/>
                <w:sz w:val="24"/>
                <w:szCs w:val="24"/>
                <w:lang w:val="en-US"/>
              </w:rPr>
              <w:t>System</w:t>
            </w:r>
            <w:r w:rsidR="00364A61" w:rsidRPr="00A4472D">
              <w:rPr>
                <w:color w:val="000000" w:themeColor="text1"/>
                <w:sz w:val="24"/>
                <w:szCs w:val="24"/>
                <w:lang w:val="en-US"/>
              </w:rPr>
              <w:t xml:space="preserve"> – </w:t>
            </w:r>
            <w:r w:rsidR="00362204">
              <w:rPr>
                <w:color w:val="000000" w:themeColor="text1"/>
                <w:sz w:val="24"/>
                <w:szCs w:val="24"/>
                <w:lang w:val="en-US"/>
              </w:rPr>
              <w:t>EB111</w:t>
            </w:r>
          </w:p>
        </w:tc>
        <w:tc>
          <w:tcPr>
            <w:tcW w:w="1417" w:type="dxa"/>
            <w:shd w:val="clear" w:color="auto" w:fill="DBE5F1" w:themeFill="accent1" w:themeFillTint="33"/>
            <w:hideMark/>
          </w:tcPr>
          <w:p w:rsidR="00C57D9E" w:rsidRPr="00C57D9E" w:rsidRDefault="00F66DCD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:rsidR="00C57D9E" w:rsidRPr="00C57D9E" w:rsidRDefault="00364A61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49" w:type="dxa"/>
            <w:shd w:val="clear" w:color="auto" w:fill="DBE5F1" w:themeFill="accent1" w:themeFillTint="33"/>
            <w:hideMark/>
          </w:tcPr>
          <w:p w:rsidR="00C57D9E" w:rsidRPr="00C57D9E" w:rsidRDefault="00A4472D" w:rsidP="0038423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14/04/2016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816"/>
        <w:gridCol w:w="1411"/>
        <w:gridCol w:w="850"/>
        <w:gridCol w:w="851"/>
        <w:gridCol w:w="4926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4F09A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4F09A2">
        <w:trPr>
          <w:trHeight w:val="300"/>
        </w:trPr>
        <w:tc>
          <w:tcPr>
            <w:tcW w:w="1816" w:type="dxa"/>
            <w:shd w:val="clear" w:color="auto" w:fill="DBE5F1" w:themeFill="accent1" w:themeFillTint="33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DBE5F1" w:themeFill="accent1" w:themeFillTint="33"/>
            <w:hideMark/>
          </w:tcPr>
          <w:p w:rsidR="00890586" w:rsidRPr="00C57D9E" w:rsidRDefault="00814DE5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14/04</w:t>
            </w:r>
            <w:r w:rsidR="00364A61">
              <w:rPr>
                <w:color w:val="000000" w:themeColor="text1"/>
                <w:sz w:val="24"/>
                <w:szCs w:val="24"/>
              </w:rPr>
              <w:t>/201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DBE5F1" w:themeFill="accent1" w:themeFillTint="33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26" w:type="dxa"/>
            <w:shd w:val="clear" w:color="auto" w:fill="DBE5F1" w:themeFill="accent1" w:themeFillTint="33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4F09A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C57D9E" w:rsidRPr="00C57D9E" w:rsidRDefault="00C57D9E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C57D9E" w:rsidTr="004F09A2">
        <w:trPr>
          <w:trHeight w:val="300"/>
        </w:trPr>
        <w:tc>
          <w:tcPr>
            <w:tcW w:w="1816" w:type="dxa"/>
            <w:shd w:val="clear" w:color="auto" w:fill="DBE5F1" w:themeFill="accent1" w:themeFillTint="33"/>
            <w:hideMark/>
          </w:tcPr>
          <w:p w:rsidR="00D61D1F" w:rsidRPr="00D472C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DBE5F1" w:themeFill="accent1" w:themeFillTint="33"/>
            <w:hideMark/>
          </w:tcPr>
          <w:p w:rsidR="00D61D1F" w:rsidRPr="00D61D1F" w:rsidRDefault="00D61D1F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DBE5F1" w:themeFill="accent1" w:themeFillTint="33"/>
            <w:hideMark/>
          </w:tcPr>
          <w:p w:rsidR="00D61D1F" w:rsidRPr="00D61D1F" w:rsidRDefault="00D61D1F" w:rsidP="00D61D1F">
            <w:pPr>
              <w:jc w:val="both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</w:p>
        </w:tc>
      </w:tr>
      <w:tr w:rsidR="00D61D1F" w:rsidRPr="00901750" w:rsidTr="004F09A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6B592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RPr="00901750" w:rsidTr="004F09A2">
        <w:trPr>
          <w:trHeight w:val="300"/>
        </w:trPr>
        <w:tc>
          <w:tcPr>
            <w:tcW w:w="1816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F09A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F09A2">
        <w:trPr>
          <w:trHeight w:val="300"/>
        </w:trPr>
        <w:tc>
          <w:tcPr>
            <w:tcW w:w="1816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F09A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F09A2">
        <w:trPr>
          <w:trHeight w:val="300"/>
        </w:trPr>
        <w:tc>
          <w:tcPr>
            <w:tcW w:w="1816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F09A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F09A2">
        <w:trPr>
          <w:trHeight w:val="300"/>
        </w:trPr>
        <w:tc>
          <w:tcPr>
            <w:tcW w:w="1816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F09A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F09A2">
        <w:trPr>
          <w:trHeight w:val="106"/>
        </w:trPr>
        <w:tc>
          <w:tcPr>
            <w:tcW w:w="1816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DBE5F1" w:themeFill="accent1" w:themeFillTint="33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3D55FB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3D55FB">
        <w:trPr>
          <w:trHeight w:val="300"/>
        </w:trPr>
        <w:tc>
          <w:tcPr>
            <w:tcW w:w="1816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3D55FB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3D55FB">
        <w:trPr>
          <w:trHeight w:val="300"/>
        </w:trPr>
        <w:tc>
          <w:tcPr>
            <w:tcW w:w="1816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3D55FB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3D55FB">
        <w:trPr>
          <w:trHeight w:val="300"/>
        </w:trPr>
        <w:tc>
          <w:tcPr>
            <w:tcW w:w="1816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3D55FB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3D55FB">
        <w:trPr>
          <w:trHeight w:val="300"/>
        </w:trPr>
        <w:tc>
          <w:tcPr>
            <w:tcW w:w="1816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DBE5F1" w:themeFill="accent1" w:themeFillTint="33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Content>
        <w:p w:rsidR="00C57D9E" w:rsidRDefault="00C57D9E">
          <w:pPr>
            <w:pStyle w:val="Titolosommario"/>
          </w:pPr>
          <w:r>
            <w:t>Sommario</w:t>
          </w:r>
        </w:p>
        <w:p w:rsidR="005D2596" w:rsidRDefault="005A53E8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r w:rsidRPr="005A53E8">
            <w:fldChar w:fldCharType="begin"/>
          </w:r>
          <w:r w:rsidR="00C57D9E">
            <w:instrText xml:space="preserve"> TOC \o "1-3" \h \z \u </w:instrText>
          </w:r>
          <w:r w:rsidRPr="005A53E8">
            <w:fldChar w:fldCharType="separate"/>
          </w:r>
          <w:hyperlink w:anchor="_Toc448433950" w:history="1">
            <w:r w:rsidR="005D2596" w:rsidRPr="00BD4D87">
              <w:rPr>
                <w:rStyle w:val="Collegamentoipertestuale"/>
                <w:noProof/>
              </w:rPr>
              <w:t>1.</w:t>
            </w:r>
            <w:r w:rsidR="005D2596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5D2596" w:rsidRPr="00BD4D87">
              <w:rPr>
                <w:rStyle w:val="Collegamentoipertestuale"/>
                <w:noProof/>
              </w:rPr>
              <w:t>Introduzione</w:t>
            </w:r>
            <w:r w:rsidR="005D2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596">
              <w:rPr>
                <w:noProof/>
                <w:webHidden/>
              </w:rPr>
              <w:instrText xml:space="preserve"> PAGEREF _Toc448433950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596" w:rsidRDefault="005A53E8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48433951" w:history="1">
            <w:r w:rsidR="005D2596" w:rsidRPr="00BD4D87">
              <w:rPr>
                <w:rStyle w:val="Collegamentoipertestuale"/>
                <w:noProof/>
              </w:rPr>
              <w:t>2.</w:t>
            </w:r>
            <w:r w:rsidR="005D2596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5D2596" w:rsidRPr="00BD4D87">
              <w:rPr>
                <w:rStyle w:val="Collegamentoipertestuale"/>
                <w:noProof/>
              </w:rPr>
              <w:t>Schema a blocchi Hardware Infrared Board</w:t>
            </w:r>
            <w:r w:rsidR="005D2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596">
              <w:rPr>
                <w:noProof/>
                <w:webHidden/>
              </w:rPr>
              <w:instrText xml:space="preserve"> PAGEREF _Toc448433951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596" w:rsidRDefault="005A53E8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48433952" w:history="1">
            <w:r w:rsidR="005D2596" w:rsidRPr="00BD4D87">
              <w:rPr>
                <w:rStyle w:val="Collegamentoipertestuale"/>
                <w:noProof/>
              </w:rPr>
              <w:t>3.</w:t>
            </w:r>
            <w:r w:rsidR="005D2596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5D2596" w:rsidRPr="00BD4D87">
              <w:rPr>
                <w:rStyle w:val="Collegamentoipertestuale"/>
                <w:noProof/>
              </w:rPr>
              <w:t>Requisiti Hardware</w:t>
            </w:r>
            <w:r w:rsidR="005D2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596">
              <w:rPr>
                <w:noProof/>
                <w:webHidden/>
              </w:rPr>
              <w:instrText xml:space="preserve"> PAGEREF _Toc448433952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9E" w:rsidRDefault="005A53E8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448433950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F66DCD" w:rsidRDefault="00C57D9E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</w:t>
      </w:r>
      <w:r w:rsidR="00D33F7E">
        <w:rPr>
          <w:sz w:val="24"/>
          <w:szCs w:val="24"/>
        </w:rPr>
        <w:t>le specifiche relat</w:t>
      </w:r>
      <w:r w:rsidR="002939B8">
        <w:rPr>
          <w:sz w:val="24"/>
          <w:szCs w:val="24"/>
        </w:rPr>
        <w:t>ive a</w:t>
      </w:r>
      <w:r w:rsidR="00890586">
        <w:rPr>
          <w:sz w:val="24"/>
          <w:szCs w:val="24"/>
        </w:rPr>
        <w:t xml:space="preserve">lla scheda elettronica </w:t>
      </w:r>
      <w:r w:rsidR="00521C80">
        <w:rPr>
          <w:sz w:val="24"/>
          <w:szCs w:val="24"/>
        </w:rPr>
        <w:t>Mercury</w:t>
      </w:r>
      <w:r w:rsidR="00A56BF2">
        <w:rPr>
          <w:sz w:val="24"/>
          <w:szCs w:val="24"/>
        </w:rPr>
        <w:t xml:space="preserve"> </w:t>
      </w:r>
      <w:r w:rsidR="005B3DD2">
        <w:rPr>
          <w:sz w:val="24"/>
          <w:szCs w:val="24"/>
        </w:rPr>
        <w:t xml:space="preserve">Expansion Board </w:t>
      </w:r>
      <w:r w:rsidR="005D2596">
        <w:rPr>
          <w:sz w:val="24"/>
          <w:szCs w:val="24"/>
        </w:rPr>
        <w:t>Quad</w:t>
      </w:r>
      <w:r w:rsidR="00901750">
        <w:rPr>
          <w:sz w:val="24"/>
          <w:szCs w:val="24"/>
        </w:rPr>
        <w:t xml:space="preserve">, che costituisce </w:t>
      </w:r>
      <w:r w:rsidR="00F90C45">
        <w:rPr>
          <w:sz w:val="24"/>
          <w:szCs w:val="24"/>
        </w:rPr>
        <w:t>una delle schede slave del “Mercury System”.</w:t>
      </w:r>
      <w:r w:rsidR="002939B8">
        <w:rPr>
          <w:sz w:val="24"/>
          <w:szCs w:val="24"/>
        </w:rPr>
        <w:t xml:space="preserve">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Default="00D33F7E" w:rsidP="00C57D9E">
      <w:pPr>
        <w:pStyle w:val="Titolo1"/>
        <w:numPr>
          <w:ilvl w:val="0"/>
          <w:numId w:val="1"/>
        </w:numPr>
      </w:pPr>
      <w:bookmarkStart w:id="2" w:name="_Toc448433951"/>
      <w:r>
        <w:lastRenderedPageBreak/>
        <w:t>Schema a blocchi Hardware</w:t>
      </w:r>
      <w:r w:rsidR="00A56BF2">
        <w:t xml:space="preserve"> </w:t>
      </w:r>
      <w:r w:rsidR="003469EF">
        <w:t>Infrared</w:t>
      </w:r>
      <w:r w:rsidR="00A56BF2">
        <w:t xml:space="preserve"> Board</w:t>
      </w:r>
      <w:bookmarkEnd w:id="2"/>
    </w:p>
    <w:p w:rsidR="00C6518C" w:rsidRDefault="00C6518C" w:rsidP="00C6518C">
      <w:pPr>
        <w:spacing w:after="0"/>
      </w:pPr>
    </w:p>
    <w:p w:rsidR="002939B8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</w:t>
      </w:r>
    </w:p>
    <w:p w:rsidR="00F90C45" w:rsidRPr="00890586" w:rsidRDefault="00F90C45" w:rsidP="002939B8">
      <w:pPr>
        <w:spacing w:after="0"/>
        <w:jc w:val="both"/>
        <w:rPr>
          <w:sz w:val="24"/>
          <w:szCs w:val="24"/>
        </w:rPr>
      </w:pPr>
    </w:p>
    <w:p w:rsidR="007015A6" w:rsidRPr="00D840C4" w:rsidRDefault="007015A6" w:rsidP="00814DE5">
      <w:pPr>
        <w:spacing w:after="0"/>
        <w:jc w:val="center"/>
      </w:pPr>
    </w:p>
    <w:p w:rsidR="005B3DD2" w:rsidRDefault="005D2596" w:rsidP="002939B8">
      <w:pPr>
        <w:spacing w:after="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297424" cy="3602736"/>
            <wp:effectExtent l="19050" t="0" r="0" b="0"/>
            <wp:docPr id="4" name="Immagine 3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424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5B3DD2" w:rsidRDefault="005B3DD2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scheda permette la connessione di </w:t>
      </w:r>
      <w:r w:rsidR="005D2596">
        <w:rPr>
          <w:sz w:val="24"/>
          <w:szCs w:val="24"/>
        </w:rPr>
        <w:t>quattro</w:t>
      </w:r>
      <w:r>
        <w:rPr>
          <w:sz w:val="24"/>
          <w:szCs w:val="24"/>
        </w:rPr>
        <w:t xml:space="preserve"> unità Mercury, tipicamente una unità master ed una slave. La scheda fornisce inoltre il connettore ICSP Microchip per il debug della BB (non presente nella BB) e un connettore per agganciarsi al bus I2C.</w:t>
      </w: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448433952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5B3DD2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5B3DD2" w:rsidRPr="00C57D9E" w:rsidRDefault="005B3DD2" w:rsidP="00F80FC6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5B3DD2" w:rsidRPr="00C57D9E" w:rsidRDefault="005B3DD2" w:rsidP="00F80FC6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E70A1" w:rsidRPr="00C51B66" w:rsidRDefault="00362204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EB111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5B3DD2">
              <w:rPr>
                <w:color w:val="000000" w:themeColor="text1"/>
                <w:sz w:val="24"/>
                <w:szCs w:val="24"/>
              </w:rPr>
              <w:t>1</w:t>
            </w:r>
            <w:r w:rsidR="00F90C45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B4D54" w:rsidRPr="00DE70A1" w:rsidRDefault="005B3DD2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connettori application sono costituiti</w:t>
            </w:r>
            <w:r w:rsidR="00FF0D91">
              <w:rPr>
                <w:color w:val="000000" w:themeColor="text1"/>
                <w:sz w:val="24"/>
                <w:szCs w:val="24"/>
              </w:rPr>
              <w:t xml:space="preserve"> da due connettori singoli a passo 2</w:t>
            </w:r>
            <w:r>
              <w:rPr>
                <w:color w:val="000000" w:themeColor="text1"/>
                <w:sz w:val="24"/>
                <w:szCs w:val="24"/>
              </w:rPr>
              <w:t>,54</w:t>
            </w:r>
            <w:r w:rsidR="00FF0D91">
              <w:rPr>
                <w:color w:val="000000" w:themeColor="text1"/>
                <w:sz w:val="24"/>
                <w:szCs w:val="24"/>
              </w:rPr>
              <w:t>mm</w:t>
            </w:r>
            <w:r w:rsidR="009D6462">
              <w:rPr>
                <w:color w:val="000000" w:themeColor="text1"/>
                <w:sz w:val="24"/>
                <w:szCs w:val="24"/>
              </w:rPr>
              <w:t>, 10x1</w:t>
            </w:r>
            <w:r>
              <w:rPr>
                <w:color w:val="000000" w:themeColor="text1"/>
                <w:sz w:val="24"/>
                <w:szCs w:val="24"/>
              </w:rPr>
              <w:t xml:space="preserve"> e 8</w:t>
            </w:r>
            <w:r w:rsidR="00521C80">
              <w:rPr>
                <w:color w:val="000000" w:themeColor="text1"/>
                <w:sz w:val="24"/>
                <w:szCs w:val="24"/>
              </w:rPr>
              <w:t>x1</w:t>
            </w:r>
            <w:r w:rsidR="009D6462">
              <w:rPr>
                <w:color w:val="000000" w:themeColor="text1"/>
                <w:sz w:val="24"/>
                <w:szCs w:val="24"/>
              </w:rPr>
              <w:t xml:space="preserve"> disposti ai lati del PCB.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DE70A1" w:rsidRPr="00C51B66" w:rsidRDefault="00362204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EB111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</w:t>
            </w:r>
            <w:r w:rsidR="009D6462">
              <w:rPr>
                <w:color w:val="000000" w:themeColor="text1"/>
                <w:sz w:val="24"/>
                <w:szCs w:val="24"/>
              </w:rPr>
              <w:t>HW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="00F90C45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A86557" w:rsidRDefault="009D6462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è rappresentato nella figura in basso:</w:t>
            </w:r>
          </w:p>
          <w:p w:rsidR="009D6462" w:rsidRDefault="009D6462" w:rsidP="00386319">
            <w:pPr>
              <w:jc w:val="both"/>
              <w:rPr>
                <w:sz w:val="24"/>
                <w:szCs w:val="24"/>
              </w:rPr>
            </w:pPr>
          </w:p>
          <w:p w:rsidR="009D6462" w:rsidRDefault="005D2596" w:rsidP="009D646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394001" cy="3182511"/>
                  <wp:effectExtent l="19050" t="0" r="0" b="0"/>
                  <wp:docPr id="5" name="Immagine 4" descr="LayoutExpansion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Expansion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339" cy="318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462" w:rsidRPr="004F09A2" w:rsidRDefault="009D6462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362204" w:rsidP="00F90A89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EB111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362204" w:rsidP="00F90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expansion board dovrà anche implementare un meccanismo HW per consentire il cascading (concatenamento in cascata) di più expansion board.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F7062E" w:rsidRDefault="00F7062E" w:rsidP="005B3DD2">
      <w:pPr>
        <w:pStyle w:val="Titolo1"/>
        <w:rPr>
          <w:sz w:val="24"/>
          <w:szCs w:val="24"/>
        </w:rPr>
      </w:pPr>
    </w:p>
    <w:sectPr w:rsidR="00F7062E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1D1" w:rsidRDefault="002031D1" w:rsidP="00405E5D">
      <w:pPr>
        <w:spacing w:after="0" w:line="240" w:lineRule="auto"/>
      </w:pPr>
      <w:r>
        <w:separator/>
      </w:r>
    </w:p>
    <w:p w:rsidR="002031D1" w:rsidRDefault="002031D1"/>
  </w:endnote>
  <w:endnote w:type="continuationSeparator" w:id="1">
    <w:p w:rsidR="002031D1" w:rsidRDefault="002031D1" w:rsidP="00405E5D">
      <w:pPr>
        <w:spacing w:after="0" w:line="240" w:lineRule="auto"/>
      </w:pPr>
      <w:r>
        <w:continuationSeparator/>
      </w:r>
    </w:p>
    <w:p w:rsidR="002031D1" w:rsidRDefault="002031D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BA7C45" w:rsidRPr="00BA7C45">
              <w:rPr>
                <w:rFonts w:asciiTheme="majorHAnsi" w:hAnsiTheme="majorHAnsi"/>
                <w:b/>
                <w:noProof/>
              </w:rPr>
              <w:t>6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1D1" w:rsidRDefault="002031D1" w:rsidP="00405E5D">
      <w:pPr>
        <w:spacing w:after="0" w:line="240" w:lineRule="auto"/>
      </w:pPr>
      <w:r>
        <w:separator/>
      </w:r>
    </w:p>
    <w:p w:rsidR="002031D1" w:rsidRDefault="002031D1"/>
  </w:footnote>
  <w:footnote w:type="continuationSeparator" w:id="1">
    <w:p w:rsidR="002031D1" w:rsidRDefault="002031D1" w:rsidP="00405E5D">
      <w:pPr>
        <w:spacing w:after="0" w:line="240" w:lineRule="auto"/>
      </w:pPr>
      <w:r>
        <w:continuationSeparator/>
      </w:r>
    </w:p>
    <w:p w:rsidR="002031D1" w:rsidRDefault="002031D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5" w:rsidRPr="007015A6" w:rsidRDefault="005A53E8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C9B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6"/>
  </w:num>
  <w:num w:numId="4">
    <w:abstractNumId w:val="34"/>
  </w:num>
  <w:num w:numId="5">
    <w:abstractNumId w:val="5"/>
  </w:num>
  <w:num w:numId="6">
    <w:abstractNumId w:val="8"/>
  </w:num>
  <w:num w:numId="7">
    <w:abstractNumId w:val="27"/>
  </w:num>
  <w:num w:numId="8">
    <w:abstractNumId w:val="32"/>
  </w:num>
  <w:num w:numId="9">
    <w:abstractNumId w:val="1"/>
  </w:num>
  <w:num w:numId="10">
    <w:abstractNumId w:val="33"/>
  </w:num>
  <w:num w:numId="11">
    <w:abstractNumId w:val="3"/>
  </w:num>
  <w:num w:numId="12">
    <w:abstractNumId w:val="14"/>
  </w:num>
  <w:num w:numId="13">
    <w:abstractNumId w:val="24"/>
  </w:num>
  <w:num w:numId="14">
    <w:abstractNumId w:val="2"/>
  </w:num>
  <w:num w:numId="15">
    <w:abstractNumId w:val="37"/>
  </w:num>
  <w:num w:numId="16">
    <w:abstractNumId w:val="29"/>
  </w:num>
  <w:num w:numId="17">
    <w:abstractNumId w:val="21"/>
  </w:num>
  <w:num w:numId="18">
    <w:abstractNumId w:val="19"/>
  </w:num>
  <w:num w:numId="19">
    <w:abstractNumId w:val="13"/>
  </w:num>
  <w:num w:numId="20">
    <w:abstractNumId w:val="9"/>
  </w:num>
  <w:num w:numId="21">
    <w:abstractNumId w:val="0"/>
  </w:num>
  <w:num w:numId="22">
    <w:abstractNumId w:val="12"/>
  </w:num>
  <w:num w:numId="23">
    <w:abstractNumId w:val="36"/>
  </w:num>
  <w:num w:numId="24">
    <w:abstractNumId w:val="10"/>
  </w:num>
  <w:num w:numId="25">
    <w:abstractNumId w:val="23"/>
  </w:num>
  <w:num w:numId="26">
    <w:abstractNumId w:val="17"/>
  </w:num>
  <w:num w:numId="27">
    <w:abstractNumId w:val="26"/>
  </w:num>
  <w:num w:numId="28">
    <w:abstractNumId w:val="22"/>
  </w:num>
  <w:num w:numId="29">
    <w:abstractNumId w:val="28"/>
  </w:num>
  <w:num w:numId="30">
    <w:abstractNumId w:val="15"/>
  </w:num>
  <w:num w:numId="31">
    <w:abstractNumId w:val="35"/>
  </w:num>
  <w:num w:numId="32">
    <w:abstractNumId w:val="7"/>
  </w:num>
  <w:num w:numId="33">
    <w:abstractNumId w:val="38"/>
  </w:num>
  <w:num w:numId="34">
    <w:abstractNumId w:val="18"/>
  </w:num>
  <w:num w:numId="35">
    <w:abstractNumId w:val="30"/>
  </w:num>
  <w:num w:numId="36">
    <w:abstractNumId w:val="31"/>
  </w:num>
  <w:num w:numId="37">
    <w:abstractNumId w:val="39"/>
  </w:num>
  <w:num w:numId="38">
    <w:abstractNumId w:val="4"/>
  </w:num>
  <w:num w:numId="39">
    <w:abstractNumId w:val="6"/>
  </w:num>
  <w:num w:numId="4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hdrShapeDefaults>
    <o:shapedefaults v:ext="edit" spidmax="1863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00739"/>
    <w:rsid w:val="00003F61"/>
    <w:rsid w:val="00012C77"/>
    <w:rsid w:val="000260E1"/>
    <w:rsid w:val="00037E88"/>
    <w:rsid w:val="0004020E"/>
    <w:rsid w:val="000646FD"/>
    <w:rsid w:val="000665B7"/>
    <w:rsid w:val="00083910"/>
    <w:rsid w:val="000E6630"/>
    <w:rsid w:val="000E7E65"/>
    <w:rsid w:val="001004CD"/>
    <w:rsid w:val="0011398C"/>
    <w:rsid w:val="001243EA"/>
    <w:rsid w:val="00141F7E"/>
    <w:rsid w:val="00166DAA"/>
    <w:rsid w:val="00177B57"/>
    <w:rsid w:val="001A21DF"/>
    <w:rsid w:val="001A2CB4"/>
    <w:rsid w:val="001A4BBD"/>
    <w:rsid w:val="001C0621"/>
    <w:rsid w:val="001C13B3"/>
    <w:rsid w:val="001D37B7"/>
    <w:rsid w:val="001E1723"/>
    <w:rsid w:val="001E4244"/>
    <w:rsid w:val="001F3176"/>
    <w:rsid w:val="001F6A8C"/>
    <w:rsid w:val="002031D1"/>
    <w:rsid w:val="00207C4A"/>
    <w:rsid w:val="002129DD"/>
    <w:rsid w:val="00227A4F"/>
    <w:rsid w:val="002330FB"/>
    <w:rsid w:val="00235E12"/>
    <w:rsid w:val="00241043"/>
    <w:rsid w:val="00263D8F"/>
    <w:rsid w:val="00274199"/>
    <w:rsid w:val="00282C87"/>
    <w:rsid w:val="002939B8"/>
    <w:rsid w:val="002A3EC8"/>
    <w:rsid w:val="002B28F5"/>
    <w:rsid w:val="002B6917"/>
    <w:rsid w:val="002E37EE"/>
    <w:rsid w:val="002E4D51"/>
    <w:rsid w:val="002E4D7E"/>
    <w:rsid w:val="002E621F"/>
    <w:rsid w:val="003058D0"/>
    <w:rsid w:val="00314316"/>
    <w:rsid w:val="003214AD"/>
    <w:rsid w:val="00327714"/>
    <w:rsid w:val="0033286E"/>
    <w:rsid w:val="00333F8B"/>
    <w:rsid w:val="00343396"/>
    <w:rsid w:val="003469EF"/>
    <w:rsid w:val="00351323"/>
    <w:rsid w:val="00351500"/>
    <w:rsid w:val="0035288A"/>
    <w:rsid w:val="00361052"/>
    <w:rsid w:val="00362204"/>
    <w:rsid w:val="00364A61"/>
    <w:rsid w:val="00365375"/>
    <w:rsid w:val="00375595"/>
    <w:rsid w:val="00384235"/>
    <w:rsid w:val="00386319"/>
    <w:rsid w:val="0039566D"/>
    <w:rsid w:val="00401983"/>
    <w:rsid w:val="00404E23"/>
    <w:rsid w:val="00405E5D"/>
    <w:rsid w:val="004137F2"/>
    <w:rsid w:val="00416FE7"/>
    <w:rsid w:val="00446016"/>
    <w:rsid w:val="004507FF"/>
    <w:rsid w:val="00452C3B"/>
    <w:rsid w:val="004553DB"/>
    <w:rsid w:val="00491EBD"/>
    <w:rsid w:val="00496025"/>
    <w:rsid w:val="004C7B40"/>
    <w:rsid w:val="004F09A2"/>
    <w:rsid w:val="004F226C"/>
    <w:rsid w:val="004F6D04"/>
    <w:rsid w:val="00510215"/>
    <w:rsid w:val="005163EB"/>
    <w:rsid w:val="00521C80"/>
    <w:rsid w:val="0052529E"/>
    <w:rsid w:val="00526CF9"/>
    <w:rsid w:val="005407A2"/>
    <w:rsid w:val="005601E1"/>
    <w:rsid w:val="005762E0"/>
    <w:rsid w:val="005A368B"/>
    <w:rsid w:val="005A46F9"/>
    <w:rsid w:val="005A53E8"/>
    <w:rsid w:val="005A5E91"/>
    <w:rsid w:val="005B1D10"/>
    <w:rsid w:val="005B23AB"/>
    <w:rsid w:val="005B2927"/>
    <w:rsid w:val="005B3DD2"/>
    <w:rsid w:val="005B7EE7"/>
    <w:rsid w:val="005C377F"/>
    <w:rsid w:val="005C7D72"/>
    <w:rsid w:val="005D0B8E"/>
    <w:rsid w:val="005D2596"/>
    <w:rsid w:val="005E2411"/>
    <w:rsid w:val="006069CC"/>
    <w:rsid w:val="006146DE"/>
    <w:rsid w:val="00622C62"/>
    <w:rsid w:val="00633EB4"/>
    <w:rsid w:val="00644FD3"/>
    <w:rsid w:val="00647626"/>
    <w:rsid w:val="006476E4"/>
    <w:rsid w:val="00653CD9"/>
    <w:rsid w:val="00673180"/>
    <w:rsid w:val="006827A3"/>
    <w:rsid w:val="0069117C"/>
    <w:rsid w:val="006A64F5"/>
    <w:rsid w:val="006B089D"/>
    <w:rsid w:val="006B523A"/>
    <w:rsid w:val="006B5926"/>
    <w:rsid w:val="006B79C0"/>
    <w:rsid w:val="006C25A6"/>
    <w:rsid w:val="006C6DA5"/>
    <w:rsid w:val="006D6CD7"/>
    <w:rsid w:val="007015A6"/>
    <w:rsid w:val="007023EC"/>
    <w:rsid w:val="0070471F"/>
    <w:rsid w:val="00712DC9"/>
    <w:rsid w:val="00715243"/>
    <w:rsid w:val="00717B20"/>
    <w:rsid w:val="00721FF7"/>
    <w:rsid w:val="007353F2"/>
    <w:rsid w:val="0074250D"/>
    <w:rsid w:val="007430BC"/>
    <w:rsid w:val="00745B35"/>
    <w:rsid w:val="00751D4F"/>
    <w:rsid w:val="00771399"/>
    <w:rsid w:val="007873F9"/>
    <w:rsid w:val="007A0F8D"/>
    <w:rsid w:val="007B2EBF"/>
    <w:rsid w:val="007B490D"/>
    <w:rsid w:val="007B6567"/>
    <w:rsid w:val="007D229D"/>
    <w:rsid w:val="007D4A72"/>
    <w:rsid w:val="007E45F9"/>
    <w:rsid w:val="007F5707"/>
    <w:rsid w:val="00803C00"/>
    <w:rsid w:val="00814DE5"/>
    <w:rsid w:val="00822582"/>
    <w:rsid w:val="00827DE6"/>
    <w:rsid w:val="00834EBC"/>
    <w:rsid w:val="008357D9"/>
    <w:rsid w:val="0086092D"/>
    <w:rsid w:val="00861A90"/>
    <w:rsid w:val="00887ABB"/>
    <w:rsid w:val="00890351"/>
    <w:rsid w:val="00890586"/>
    <w:rsid w:val="008969DF"/>
    <w:rsid w:val="008A1301"/>
    <w:rsid w:val="008C050D"/>
    <w:rsid w:val="008D0CBE"/>
    <w:rsid w:val="008D3051"/>
    <w:rsid w:val="008E2FE9"/>
    <w:rsid w:val="00901750"/>
    <w:rsid w:val="009022C7"/>
    <w:rsid w:val="00904AEB"/>
    <w:rsid w:val="00921B5E"/>
    <w:rsid w:val="00922A26"/>
    <w:rsid w:val="00924089"/>
    <w:rsid w:val="0093693F"/>
    <w:rsid w:val="00942A1D"/>
    <w:rsid w:val="009C5650"/>
    <w:rsid w:val="009D6462"/>
    <w:rsid w:val="009E1F97"/>
    <w:rsid w:val="009F3372"/>
    <w:rsid w:val="009F50CE"/>
    <w:rsid w:val="00A067E0"/>
    <w:rsid w:val="00A06A08"/>
    <w:rsid w:val="00A13BDD"/>
    <w:rsid w:val="00A245AA"/>
    <w:rsid w:val="00A26209"/>
    <w:rsid w:val="00A34145"/>
    <w:rsid w:val="00A37865"/>
    <w:rsid w:val="00A40862"/>
    <w:rsid w:val="00A4472D"/>
    <w:rsid w:val="00A557E5"/>
    <w:rsid w:val="00A56BF2"/>
    <w:rsid w:val="00A57661"/>
    <w:rsid w:val="00A63391"/>
    <w:rsid w:val="00A706B3"/>
    <w:rsid w:val="00A8563A"/>
    <w:rsid w:val="00A862B5"/>
    <w:rsid w:val="00A86557"/>
    <w:rsid w:val="00A9188A"/>
    <w:rsid w:val="00AB01A2"/>
    <w:rsid w:val="00AC03CC"/>
    <w:rsid w:val="00AC33B5"/>
    <w:rsid w:val="00AD768A"/>
    <w:rsid w:val="00AE12CF"/>
    <w:rsid w:val="00AE6DB0"/>
    <w:rsid w:val="00AF233B"/>
    <w:rsid w:val="00AF736B"/>
    <w:rsid w:val="00B23FCB"/>
    <w:rsid w:val="00B42693"/>
    <w:rsid w:val="00B43459"/>
    <w:rsid w:val="00B8643E"/>
    <w:rsid w:val="00B97792"/>
    <w:rsid w:val="00BA28C2"/>
    <w:rsid w:val="00BA404C"/>
    <w:rsid w:val="00BA7C45"/>
    <w:rsid w:val="00BB3FC9"/>
    <w:rsid w:val="00BB61EA"/>
    <w:rsid w:val="00BC7E09"/>
    <w:rsid w:val="00BD38D8"/>
    <w:rsid w:val="00BF32FD"/>
    <w:rsid w:val="00C03FB0"/>
    <w:rsid w:val="00C05D13"/>
    <w:rsid w:val="00C143AE"/>
    <w:rsid w:val="00C16464"/>
    <w:rsid w:val="00C165C8"/>
    <w:rsid w:val="00C2239A"/>
    <w:rsid w:val="00C24912"/>
    <w:rsid w:val="00C26C42"/>
    <w:rsid w:val="00C33EF4"/>
    <w:rsid w:val="00C341C6"/>
    <w:rsid w:val="00C438EA"/>
    <w:rsid w:val="00C45531"/>
    <w:rsid w:val="00C46474"/>
    <w:rsid w:val="00C51B66"/>
    <w:rsid w:val="00C57D9E"/>
    <w:rsid w:val="00C6518C"/>
    <w:rsid w:val="00C71F37"/>
    <w:rsid w:val="00CA37CF"/>
    <w:rsid w:val="00CB40C5"/>
    <w:rsid w:val="00CB6F4E"/>
    <w:rsid w:val="00CB7B6A"/>
    <w:rsid w:val="00CD3A25"/>
    <w:rsid w:val="00CD4B01"/>
    <w:rsid w:val="00CF6901"/>
    <w:rsid w:val="00D03A00"/>
    <w:rsid w:val="00D14F17"/>
    <w:rsid w:val="00D27555"/>
    <w:rsid w:val="00D33F7E"/>
    <w:rsid w:val="00D472CC"/>
    <w:rsid w:val="00D61259"/>
    <w:rsid w:val="00D61D1F"/>
    <w:rsid w:val="00D840C4"/>
    <w:rsid w:val="00D84A3C"/>
    <w:rsid w:val="00D869BC"/>
    <w:rsid w:val="00D86AC4"/>
    <w:rsid w:val="00D90019"/>
    <w:rsid w:val="00DE70A1"/>
    <w:rsid w:val="00DE70A3"/>
    <w:rsid w:val="00E12C89"/>
    <w:rsid w:val="00E27F27"/>
    <w:rsid w:val="00E33EFA"/>
    <w:rsid w:val="00E3435D"/>
    <w:rsid w:val="00E40E5C"/>
    <w:rsid w:val="00E42BFB"/>
    <w:rsid w:val="00E4478C"/>
    <w:rsid w:val="00E573F6"/>
    <w:rsid w:val="00E617D8"/>
    <w:rsid w:val="00E6450B"/>
    <w:rsid w:val="00E675BD"/>
    <w:rsid w:val="00E77100"/>
    <w:rsid w:val="00E83D43"/>
    <w:rsid w:val="00E84737"/>
    <w:rsid w:val="00EB5150"/>
    <w:rsid w:val="00EC4E23"/>
    <w:rsid w:val="00EC5B31"/>
    <w:rsid w:val="00EF1B22"/>
    <w:rsid w:val="00F13114"/>
    <w:rsid w:val="00F612D5"/>
    <w:rsid w:val="00F66DCD"/>
    <w:rsid w:val="00F7062E"/>
    <w:rsid w:val="00F75B23"/>
    <w:rsid w:val="00F87FB0"/>
    <w:rsid w:val="00F90C45"/>
    <w:rsid w:val="00FA0608"/>
    <w:rsid w:val="00FA2926"/>
    <w:rsid w:val="00FA77FB"/>
    <w:rsid w:val="00FA7CFF"/>
    <w:rsid w:val="00FB416C"/>
    <w:rsid w:val="00FB4D54"/>
    <w:rsid w:val="00FC44A3"/>
    <w:rsid w:val="00FC5032"/>
    <w:rsid w:val="00FC5F0A"/>
    <w:rsid w:val="00FD02E8"/>
    <w:rsid w:val="00FE643F"/>
    <w:rsid w:val="00FF0D91"/>
    <w:rsid w:val="00F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6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92679-4C5D-4185-B9E6-9D433E1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lastModifiedBy>Francesco</cp:lastModifiedBy>
  <cp:revision>19</cp:revision>
  <cp:lastPrinted>2016-05-29T10:53:00Z</cp:lastPrinted>
  <dcterms:created xsi:type="dcterms:W3CDTF">2016-03-14T21:53:00Z</dcterms:created>
  <dcterms:modified xsi:type="dcterms:W3CDTF">2017-12-31T09:43:00Z</dcterms:modified>
</cp:coreProperties>
</file>