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pPr>
      <w:bookmarkStart w:id="0" w:name="consignes-du-style-garni"/>
      <w:r>
        <w:rPr/>
        <w:t>Consignes du style garni</w:t>
      </w:r>
    </w:p>
    <w:p>
      <w:pPr>
        <w:pStyle w:val="FirstParagraph"/>
        <w:rPr/>
      </w:pPr>
      <w:r>
        <w:rPr/>
        <w:t>À la fin de l’ouvrage, une bibliographie exhaustive, avec répétition du nom d’auteur pour chaque ouvrage, selon le modèle :</w:t>
      </w:r>
    </w:p>
    <w:p>
      <w:pPr>
        <w:pStyle w:val="BodyText"/>
        <w:rPr/>
      </w:pPr>
      <w:r>
        <w:rPr/>
        <w:t xml:space="preserve">Barthes Roland, [1966] 2002a, « Introduction à l’analyse structurale des récits », </w:t>
      </w:r>
      <w:r>
        <w:rPr>
          <w:i/>
          <w:iCs/>
        </w:rPr>
        <w:t>OEuvres complètes</w:t>
      </w:r>
      <w:r>
        <w:rPr/>
        <w:t>, Éric Marty (éd.), 5 vol., Paris Éditions du Seuil, vol. 2, p. 828-865.</w:t>
      </w:r>
    </w:p>
    <w:p>
      <w:pPr>
        <w:pStyle w:val="BodyText"/>
        <w:rPr/>
      </w:pPr>
      <w:r>
        <w:rPr/>
        <w:t xml:space="preserve">Barthes Roland, [1968] 2002b, « Linguistique et littérature », </w:t>
      </w:r>
      <w:r>
        <w:rPr>
          <w:i/>
          <w:iCs/>
        </w:rPr>
        <w:t>OEuvres complètes</w:t>
      </w:r>
      <w:r>
        <w:rPr/>
        <w:t>, Éric Marty (éd.), 5 vol., Paris, Éditions du Seuil, vol. 3, p. 52-59.</w:t>
      </w:r>
    </w:p>
    <w:p>
      <w:pPr>
        <w:pStyle w:val="BodyText"/>
        <w:rPr/>
      </w:pPr>
      <w:r>
        <w:rPr/>
        <w:t xml:space="preserve">Benveniste Émile, 1966, </w:t>
      </w:r>
      <w:r>
        <w:rPr>
          <w:i/>
          <w:iCs/>
        </w:rPr>
        <w:t>Problèmes de linguistique générale</w:t>
      </w:r>
      <w:r>
        <w:rPr/>
        <w:t>, I, Paris, Gallimard.</w:t>
      </w:r>
    </w:p>
    <w:p>
      <w:pPr>
        <w:pStyle w:val="BodyText"/>
        <w:rPr/>
      </w:pPr>
      <w:r>
        <w:rPr/>
        <w:t xml:space="preserve">Benveniste Émile, 1974, </w:t>
      </w:r>
      <w:r>
        <w:rPr>
          <w:i/>
          <w:iCs/>
        </w:rPr>
        <w:t>Problèmes de linguistique générale</w:t>
      </w:r>
      <w:r>
        <w:rPr/>
        <w:t>, II, Paris, Gallimard.</w:t>
      </w:r>
    </w:p>
    <w:p>
      <w:pPr>
        <w:pStyle w:val="BodyText"/>
        <w:rPr/>
      </w:pPr>
      <w:r>
        <w:rPr/>
        <w:t xml:space="preserve">Céard Jean, 1993, « Montaigne traducteur de Raymond Sebond », </w:t>
      </w:r>
      <w:r>
        <w:rPr>
          <w:i/>
          <w:iCs/>
        </w:rPr>
        <w:t>Montaigne Studies</w:t>
      </w:r>
      <w:r>
        <w:rPr/>
        <w:t>, vol. 5, no 1-2, p. 11-26.</w:t>
      </w:r>
    </w:p>
    <w:p>
      <w:pPr>
        <w:pStyle w:val="BodyText"/>
        <w:rPr/>
      </w:pPr>
      <w:r>
        <w:rPr/>
        <w:t>Dans le corps du texte, aussi bien qu’à la suite des citations longues en retrait, une référence abrégée entre parenthèses, comportant le nom seul, la date, la pagination. Selon le modèle :</w:t>
      </w:r>
    </w:p>
    <w:p>
      <w:pPr>
        <w:pStyle w:val="BlockText"/>
        <w:rPr/>
      </w:pPr>
      <w:r>
        <w:rPr/>
        <w:t>[…] De son côté Jean Starobinski écrivait, dans sa préface aux Études de style de Leo Spitzer, que : « la linguistique, science de la forme liée au sens, possède une application herméneutique dont l’intervention est la bienvenue partout où il y a du langage à lire et du sens à déchiffrer » (Starobinski, 2001, p. 10).</w:t>
      </w:r>
    </w:p>
    <w:p>
      <w:pPr>
        <w:pStyle w:val="BlockText"/>
        <w:spacing w:before="100" w:after="100"/>
        <w:ind w:hanging="0" w:left="480" w:right="480"/>
        <w:rPr/>
      </w:pPr>
      <w:bookmarkStart w:id="1" w:name="consignes-du-style-garni"/>
      <w:r>
        <w:rPr/>
        <w:t>[…] Un chapitre de Linguistique et discours littéraire portait sur ces manuscrits de Saussure (Adam &amp; Goldenstein, 1976, p. 42-59). J’en reparle également dans Pour lire le poème (Adam, 1985, p. 98-118). Dans le cas (assez peu fréquent) d’une référence à des travaux différents d’un même auteur publiés la même année, on fait suivre la date de a, b, c… .</w:t>
      </w:r>
      <w:bookmarkEnd w:id="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resdenotedebasdepage">
    <w:name w:val="Caractères de note de bas de pag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LibreOffice/25.2.4.3$Windows_X86_64 LibreOffice_project/33e196637044ead23f5c3226cde09b47731f7e27</Application>
  <AppVersion>15.0000</AppVersion>
  <Pages>1</Pages>
  <Words>263</Words>
  <Characters>1345</Characters>
  <CharactersWithSpaces>1598</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2025-08-06T11:59:36Z</dcterms:created>
  <dc:creator/>
  <dc:description/>
  <dc:language>fr-FR</dc:language>
  <cp:lastModifiedBy/>
  <dcterms:modified xsi:type="dcterms:W3CDTF">2025-08-06T14:00:08Z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