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6B" w:rsidRPr="00AE3BC5" w:rsidRDefault="00ED1B6B" w:rsidP="00ED1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AE3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Lorem Ipsum</w:t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Lorem ipsum dolor sit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consectetur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adipiscing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Etiam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vitae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lorem.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fermentum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nisi mi,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luctus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sapien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pretium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eu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porttitor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quam id porta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facilisis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Nunc ac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cursus,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auctor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suscipit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nunc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val="en-US" w:eastAsia="fr-FR"/>
        </w:rPr>
        <w:footnoteReference w:id="1"/>
      </w:r>
      <w:r w:rsidR="009E6F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D1B6B" w:rsidRPr="00AE3BC5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 eu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Proin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tincidunt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pretium mi. Nam diam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lectus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semper nec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dignissim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nec,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scelerisque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2"/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convallis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ultricies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placerat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 erat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rutrum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Orci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varius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natoque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penatibus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magnis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parturient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montes,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nascetur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ridiculus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mus. </w:t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lobortis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molestie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justo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lacinia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erat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dictum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venenatis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Vestibulum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risus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gravida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sagittis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purus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lacus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turpis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sodales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tempus mi.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Interdum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malesuada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fames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ante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primis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faucibus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sodales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libero massa, et pretium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sapien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gravida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vitae.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3"/>
      </w: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E6F34" w:rsidRPr="00AE3BC5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Sed a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auctor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ligula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rutrum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magna.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Maecenas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varius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dui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nec,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justo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4"/>
      </w:r>
    </w:p>
    <w:p w:rsidR="00352707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Vestibulum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rhoncus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dolor dictum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luctus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val="en-US" w:eastAsia="fr-FR"/>
        </w:rPr>
        <w:footnoteReference w:id="5"/>
      </w:r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D1B6B" w:rsidRPr="00ED1B6B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laoreet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ante, </w:t>
      </w:r>
      <w:proofErr w:type="spellStart"/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nec</w:t>
      </w:r>
      <w:proofErr w:type="spellEnd"/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volutpat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vitae nisi sit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lorem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commodo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pretium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euismod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sem.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mi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augue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tincidunt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consequat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posuere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tempor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molestie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nec</w:t>
      </w:r>
      <w:proofErr w:type="spellEnd"/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dolor.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Donec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odio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facilisis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vehicula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urna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non,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vulputate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>neque</w:t>
      </w:r>
      <w:proofErr w:type="spellEnd"/>
      <w:r w:rsidRPr="00AE3B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massa, tristique non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fin</w:t>
      </w:r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ibus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faucibus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magna.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6"/>
      </w:r>
    </w:p>
    <w:p w:rsidR="00352707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orci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enim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Fusce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fermentum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pharetra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dictum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Phasellus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maximus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finibus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condimentum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euismod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ligula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7"/>
      </w:r>
    </w:p>
    <w:p w:rsidR="002453C7" w:rsidRDefault="00AE3BC5" w:rsidP="00ED1B6B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  </w:t>
      </w:r>
    </w:p>
    <w:p w:rsidR="002453C7" w:rsidRDefault="002453C7">
      <w:pPr>
        <w:rPr>
          <w:sz w:val="24"/>
        </w:rPr>
      </w:pPr>
      <w:r>
        <w:rPr>
          <w:sz w:val="24"/>
        </w:rPr>
        <w:br w:type="page"/>
      </w:r>
    </w:p>
    <w:p w:rsidR="00AE3BC5" w:rsidRPr="00AE3BC5" w:rsidRDefault="002453C7" w:rsidP="002453C7">
      <w:pPr>
        <w:pStyle w:val="Titre1"/>
      </w:pPr>
      <w:r>
        <w:t>Bibliographie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>AYAD-BERGOUNIOUX Soulef (</w:t>
      </w:r>
      <w:proofErr w:type="spellStart"/>
      <w:r w:rsidRPr="00057159">
        <w:rPr>
          <w:sz w:val="24"/>
        </w:rPr>
        <w:t>dir</w:t>
      </w:r>
      <w:proofErr w:type="spellEnd"/>
      <w:r w:rsidRPr="00057159">
        <w:rPr>
          <w:sz w:val="24"/>
        </w:rPr>
        <w:t xml:space="preserve">.), </w:t>
      </w:r>
      <w:r w:rsidRPr="00057159">
        <w:rPr>
          <w:i/>
          <w:iCs/>
          <w:sz w:val="24"/>
        </w:rPr>
        <w:t>Les logiques du droit: science de la norme et des régimes de domination : 2-3 avril 2015, Faculté Jean Monnet - Université Paris-Sud</w:t>
      </w:r>
      <w:r w:rsidRPr="00057159">
        <w:rPr>
          <w:sz w:val="24"/>
        </w:rPr>
        <w:t xml:space="preserve">, Paris, mare &amp; martin, 2018, 313 p. 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BARTHE Emmanuel, </w:t>
      </w:r>
      <w:r w:rsidRPr="00057159">
        <w:rPr>
          <w:i/>
          <w:iCs/>
          <w:sz w:val="24"/>
        </w:rPr>
        <w:t>Precisement.org - Documentation. Droit. Internet. Blog</w:t>
      </w:r>
      <w:r w:rsidRPr="00057159">
        <w:rPr>
          <w:sz w:val="24"/>
        </w:rPr>
        <w:t xml:space="preserve"> [en ligne], [consulté le 11 juin 2019]. </w:t>
      </w:r>
      <w:r w:rsidRPr="00057159">
        <w:rPr>
          <w:sz w:val="24"/>
          <w:u w:val="single"/>
        </w:rPr>
        <w:t>http://www.precisement.org/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GOGOS-GINTRAND Amélie, « Le pacte commissoire : une institution dangereuse par nature », </w:t>
      </w:r>
      <w:r w:rsidRPr="00057159">
        <w:rPr>
          <w:i/>
          <w:iCs/>
          <w:sz w:val="24"/>
        </w:rPr>
        <w:t>Revue de la recherche juridique. Droit prospectif</w:t>
      </w:r>
      <w:r w:rsidRPr="00057159">
        <w:rPr>
          <w:sz w:val="24"/>
        </w:rPr>
        <w:t>, septembre 2011, n</w:t>
      </w:r>
      <w:r w:rsidRPr="00057159">
        <w:rPr>
          <w:sz w:val="24"/>
          <w:vertAlign w:val="superscript"/>
        </w:rPr>
        <w:t>o</w:t>
      </w:r>
      <w:r w:rsidRPr="00057159">
        <w:rPr>
          <w:sz w:val="24"/>
        </w:rPr>
        <w:t> 1, p. 401</w:t>
      </w:r>
      <w:r w:rsidRPr="00057159">
        <w:rPr>
          <w:rFonts w:ascii="MS Mincho" w:eastAsia="MS Mincho" w:hAnsi="MS Mincho" w:cs="MS Mincho" w:hint="eastAsia"/>
          <w:sz w:val="24"/>
        </w:rPr>
        <w:t>‑</w:t>
      </w:r>
      <w:r w:rsidRPr="00057159">
        <w:rPr>
          <w:sz w:val="24"/>
        </w:rPr>
        <w:t xml:space="preserve">422. 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KOUBI Geneviève, « Les « sélections » de citations… - ... en marge du séminaire du CERSA sur “Le plagiat de la recherche” », sur </w:t>
      </w:r>
      <w:r w:rsidRPr="00057159">
        <w:rPr>
          <w:i/>
          <w:iCs/>
          <w:sz w:val="24"/>
        </w:rPr>
        <w:t xml:space="preserve">Droit </w:t>
      </w:r>
      <w:proofErr w:type="spellStart"/>
      <w:r w:rsidRPr="00057159">
        <w:rPr>
          <w:i/>
          <w:iCs/>
          <w:sz w:val="24"/>
        </w:rPr>
        <w:t>CriTIC</w:t>
      </w:r>
      <w:proofErr w:type="spellEnd"/>
      <w:r w:rsidRPr="00057159">
        <w:rPr>
          <w:sz w:val="24"/>
        </w:rPr>
        <w:t xml:space="preserve"> [en ligne], publié le 7 décembre 2010, [consulté le 11 juin 2019]. </w:t>
      </w:r>
      <w:r w:rsidRPr="00057159">
        <w:rPr>
          <w:sz w:val="24"/>
          <w:u w:val="single"/>
        </w:rPr>
        <w:t>http://koubi.fr/spip.php?article476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LAVILLE Elisabeth, « Comment « engager les entreprises sur la voie de la neutralité plastique » » [en ligne], </w:t>
      </w:r>
      <w:r w:rsidRPr="00057159">
        <w:rPr>
          <w:i/>
          <w:iCs/>
          <w:sz w:val="24"/>
        </w:rPr>
        <w:t>Le Monde</w:t>
      </w:r>
      <w:r w:rsidRPr="00057159">
        <w:rPr>
          <w:sz w:val="24"/>
        </w:rPr>
        <w:t xml:space="preserve">, 9 juin 2019, [consulté le 11 juin 2019]. </w:t>
      </w:r>
      <w:r w:rsidRPr="00057159">
        <w:rPr>
          <w:sz w:val="24"/>
          <w:u w:val="single"/>
        </w:rPr>
        <w:t>https://www.lemonde.fr/idees/article/2019/06/09/comment-engager-les-entreprises-sur-la-voie-de-la-neutralite-plastique_5473925_3232.html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MANCIAUX Sébastien, L’implication d’investisseurs étrangers dans certaines violations des droits de l’homme, in </w:t>
      </w:r>
      <w:proofErr w:type="spellStart"/>
      <w:r w:rsidRPr="00057159">
        <w:rPr>
          <w:sz w:val="24"/>
        </w:rPr>
        <w:t>Dockès</w:t>
      </w:r>
      <w:proofErr w:type="spellEnd"/>
      <w:r w:rsidRPr="00057159">
        <w:rPr>
          <w:sz w:val="24"/>
        </w:rPr>
        <w:t xml:space="preserve"> Emmanuel (</w:t>
      </w:r>
      <w:proofErr w:type="spellStart"/>
      <w:r w:rsidRPr="00057159">
        <w:rPr>
          <w:sz w:val="24"/>
        </w:rPr>
        <w:t>dir</w:t>
      </w:r>
      <w:proofErr w:type="spellEnd"/>
      <w:r w:rsidRPr="00057159">
        <w:rPr>
          <w:sz w:val="24"/>
        </w:rPr>
        <w:t xml:space="preserve">.), </w:t>
      </w:r>
      <w:r w:rsidRPr="00057159">
        <w:rPr>
          <w:i/>
          <w:iCs/>
          <w:sz w:val="24"/>
        </w:rPr>
        <w:t xml:space="preserve">Au </w:t>
      </w:r>
      <w:proofErr w:type="spellStart"/>
      <w:r w:rsidRPr="00057159">
        <w:rPr>
          <w:i/>
          <w:iCs/>
          <w:sz w:val="24"/>
        </w:rPr>
        <w:t>coeur</w:t>
      </w:r>
      <w:proofErr w:type="spellEnd"/>
      <w:r w:rsidRPr="00057159">
        <w:rPr>
          <w:i/>
          <w:iCs/>
          <w:sz w:val="24"/>
        </w:rPr>
        <w:t xml:space="preserve"> des combats juridiques. Pensées et témoignages de juristes engagés</w:t>
      </w:r>
      <w:r w:rsidRPr="00057159">
        <w:rPr>
          <w:sz w:val="24"/>
        </w:rPr>
        <w:t>, Paris, Dalloz, 2007, p. 355</w:t>
      </w:r>
      <w:r w:rsidRPr="00057159">
        <w:rPr>
          <w:rFonts w:ascii="MS Mincho" w:eastAsia="MS Mincho" w:hAnsi="MS Mincho" w:cs="MS Mincho" w:hint="eastAsia"/>
          <w:sz w:val="24"/>
        </w:rPr>
        <w:t>‑</w:t>
      </w:r>
      <w:r w:rsidRPr="00057159">
        <w:rPr>
          <w:sz w:val="24"/>
        </w:rPr>
        <w:t xml:space="preserve">370, [consulté le 11 juin 2019]. 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FRANCE, MINISTÈRE DE L’ENSEIGNEMENT SUPÉRIEUR ET DE LA RECHERCHE, </w:t>
      </w:r>
      <w:r w:rsidRPr="00057159">
        <w:rPr>
          <w:i/>
          <w:iCs/>
          <w:sz w:val="24"/>
        </w:rPr>
        <w:t>Décret n° 2019-209 du 20 mars 2019 portant création de l’université de Paris et approbation de ses statuts</w:t>
      </w:r>
      <w:r w:rsidRPr="00057159">
        <w:rPr>
          <w:sz w:val="24"/>
        </w:rPr>
        <w:t>, Journal officiel, n</w:t>
      </w:r>
      <w:r w:rsidRPr="00057159">
        <w:rPr>
          <w:sz w:val="24"/>
          <w:vertAlign w:val="superscript"/>
        </w:rPr>
        <w:t>o</w:t>
      </w:r>
      <w:r w:rsidRPr="00057159">
        <w:rPr>
          <w:sz w:val="24"/>
        </w:rPr>
        <w:t xml:space="preserve"> 209, 21 mars 2019, ESRS1317830D. 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PACTEAU Bernard, </w:t>
      </w:r>
      <w:r w:rsidRPr="00057159">
        <w:rPr>
          <w:i/>
          <w:iCs/>
          <w:sz w:val="24"/>
        </w:rPr>
        <w:t>Jean-Baptiste Sirey (1762-1845) : un père de l’étude et de l’édition du contentieux moderne</w:t>
      </w:r>
      <w:r w:rsidRPr="00057159">
        <w:rPr>
          <w:sz w:val="24"/>
        </w:rPr>
        <w:t xml:space="preserve"> [en ligne], Paris, Dalloz, 2014, 138 p., [consulté le 11 juin 2019]. </w:t>
      </w:r>
      <w:r w:rsidRPr="00057159">
        <w:rPr>
          <w:sz w:val="24"/>
          <w:u w:val="single"/>
        </w:rPr>
        <w:t>https://www.dalloz-bibliotheque.fr/bibliotheque/Jean_Baptiste_Sirey_(1762_1845)-39566.htm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Id., </w:t>
      </w:r>
      <w:r w:rsidRPr="00057159">
        <w:rPr>
          <w:i/>
          <w:iCs/>
          <w:sz w:val="24"/>
        </w:rPr>
        <w:t>Manuel de contentieux administratif</w:t>
      </w:r>
      <w:r w:rsidRPr="00057159">
        <w:rPr>
          <w:sz w:val="24"/>
        </w:rPr>
        <w:t>, 3</w:t>
      </w:r>
      <w:r w:rsidRPr="00057159">
        <w:rPr>
          <w:sz w:val="24"/>
          <w:vertAlign w:val="superscript"/>
        </w:rPr>
        <w:t>e</w:t>
      </w:r>
      <w:r w:rsidRPr="00057159">
        <w:rPr>
          <w:sz w:val="24"/>
        </w:rPr>
        <w:t xml:space="preserve"> éd., Paris, Presses universitaires de France, 2006, 304 p. 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PATURET Arnaud, « Sujet, objet, </w:t>
      </w:r>
      <w:proofErr w:type="spellStart"/>
      <w:r w:rsidRPr="00057159">
        <w:rPr>
          <w:sz w:val="24"/>
        </w:rPr>
        <w:t>res</w:t>
      </w:r>
      <w:proofErr w:type="spellEnd"/>
      <w:r w:rsidRPr="00057159">
        <w:rPr>
          <w:sz w:val="24"/>
        </w:rPr>
        <w:t xml:space="preserve"> et nature: un aperçu historique de l’évolution du concept de chose de l’Antiquité au droit contemporain » [en ligne], </w:t>
      </w:r>
      <w:r w:rsidRPr="00057159">
        <w:rPr>
          <w:i/>
          <w:iCs/>
          <w:sz w:val="24"/>
        </w:rPr>
        <w:t xml:space="preserve">International Journal for the </w:t>
      </w:r>
      <w:proofErr w:type="spellStart"/>
      <w:r w:rsidRPr="00057159">
        <w:rPr>
          <w:i/>
          <w:iCs/>
          <w:sz w:val="24"/>
        </w:rPr>
        <w:t>Semiotics</w:t>
      </w:r>
      <w:proofErr w:type="spellEnd"/>
      <w:r w:rsidRPr="00057159">
        <w:rPr>
          <w:i/>
          <w:iCs/>
          <w:sz w:val="24"/>
        </w:rPr>
        <w:t xml:space="preserve"> of Law</w:t>
      </w:r>
      <w:r w:rsidRPr="00057159">
        <w:rPr>
          <w:sz w:val="24"/>
        </w:rPr>
        <w:t>, 2019, n</w:t>
      </w:r>
      <w:r w:rsidRPr="00057159">
        <w:rPr>
          <w:sz w:val="24"/>
          <w:vertAlign w:val="superscript"/>
        </w:rPr>
        <w:t>o</w:t>
      </w:r>
      <w:r w:rsidRPr="00057159">
        <w:rPr>
          <w:sz w:val="24"/>
        </w:rPr>
        <w:t> 2, p. 485</w:t>
      </w:r>
      <w:r w:rsidRPr="00057159">
        <w:rPr>
          <w:rFonts w:ascii="MS Mincho" w:eastAsia="MS Mincho" w:hAnsi="MS Mincho" w:cs="MS Mincho" w:hint="eastAsia"/>
          <w:sz w:val="24"/>
        </w:rPr>
        <w:t>‑</w:t>
      </w:r>
      <w:r w:rsidRPr="00057159">
        <w:rPr>
          <w:sz w:val="24"/>
        </w:rPr>
        <w:t xml:space="preserve">504, [consulté le 11 juin 2019]. </w:t>
      </w:r>
      <w:r w:rsidRPr="00057159">
        <w:rPr>
          <w:sz w:val="24"/>
          <w:u w:val="single"/>
        </w:rPr>
        <w:t>https://doi.org/10.1007/s11196-018-9590-9</w:t>
      </w:r>
    </w:p>
    <w:p w:rsidR="00057159" w:rsidRPr="00057159" w:rsidRDefault="00057159" w:rsidP="00057159">
      <w:pPr>
        <w:pStyle w:val="Bibliographie"/>
        <w:rPr>
          <w:sz w:val="24"/>
        </w:rPr>
      </w:pPr>
      <w:r w:rsidRPr="00057159">
        <w:rPr>
          <w:sz w:val="24"/>
        </w:rPr>
        <w:t xml:space="preserve">SEBAT Henri et ALEXANDRE-CASELLI Claudine, « De l’incompréhension réductible entre recherche juridique et sciences économiques : ou plus de 20 ans de collaboration juristes-économistes au CREDA », in Centre de recherche sur le droit des affaires (éd.), </w:t>
      </w:r>
      <w:r w:rsidRPr="00057159">
        <w:rPr>
          <w:i/>
          <w:iCs/>
          <w:sz w:val="24"/>
        </w:rPr>
        <w:t xml:space="preserve">Droit et vie des affaires : études à la mémoire d’Alain </w:t>
      </w:r>
      <w:proofErr w:type="spellStart"/>
      <w:r w:rsidRPr="00057159">
        <w:rPr>
          <w:i/>
          <w:iCs/>
          <w:sz w:val="24"/>
        </w:rPr>
        <w:t>Sayag</w:t>
      </w:r>
      <w:proofErr w:type="spellEnd"/>
      <w:r w:rsidRPr="00057159">
        <w:rPr>
          <w:sz w:val="24"/>
        </w:rPr>
        <w:t xml:space="preserve">, Paris, </w:t>
      </w:r>
      <w:proofErr w:type="spellStart"/>
      <w:r w:rsidRPr="00057159">
        <w:rPr>
          <w:sz w:val="24"/>
        </w:rPr>
        <w:t>Litec</w:t>
      </w:r>
      <w:proofErr w:type="spellEnd"/>
      <w:r w:rsidRPr="00057159">
        <w:rPr>
          <w:sz w:val="24"/>
        </w:rPr>
        <w:t>, 1997, p. 83</w:t>
      </w:r>
      <w:r w:rsidRPr="00057159">
        <w:rPr>
          <w:rFonts w:ascii="MS Mincho" w:eastAsia="MS Mincho" w:hAnsi="MS Mincho" w:cs="MS Mincho" w:hint="eastAsia"/>
          <w:sz w:val="24"/>
        </w:rPr>
        <w:t>‑</w:t>
      </w:r>
      <w:r w:rsidRPr="00057159">
        <w:rPr>
          <w:sz w:val="24"/>
        </w:rPr>
        <w:t xml:space="preserve">96. </w:t>
      </w:r>
    </w:p>
    <w:p w:rsidR="00ED1B6B" w:rsidRPr="00ED1B6B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ED1B6B" w:rsidRPr="00ED1B6B" w:rsidSect="00AE3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F34" w:rsidRDefault="009E6F34" w:rsidP="009E6F34">
      <w:pPr>
        <w:spacing w:after="0" w:line="240" w:lineRule="auto"/>
      </w:pPr>
      <w:r>
        <w:separator/>
      </w:r>
    </w:p>
  </w:endnote>
  <w:endnote w:type="continuationSeparator" w:id="0">
    <w:p w:rsidR="009E6F34" w:rsidRDefault="009E6F34" w:rsidP="009E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F34" w:rsidRDefault="009E6F34" w:rsidP="009E6F34">
      <w:pPr>
        <w:spacing w:after="0" w:line="240" w:lineRule="auto"/>
      </w:pPr>
      <w:r>
        <w:separator/>
      </w:r>
    </w:p>
  </w:footnote>
  <w:footnote w:type="continuationSeparator" w:id="0">
    <w:p w:rsidR="009E6F34" w:rsidRDefault="009E6F34" w:rsidP="009E6F34">
      <w:pPr>
        <w:spacing w:after="0" w:line="240" w:lineRule="auto"/>
      </w:pPr>
      <w:r>
        <w:continuationSeparator/>
      </w:r>
    </w:p>
  </w:footnote>
  <w:footnote w:id="1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5E66E7" w:rsidRPr="005E66E7">
        <w:rPr>
          <w:rFonts w:ascii="Calibri" w:hAnsi="Calibri" w:cs="Times New Roman"/>
          <w:szCs w:val="24"/>
        </w:rPr>
        <w:t xml:space="preserve">PACTEAU Bernard, </w:t>
      </w:r>
      <w:r w:rsidR="005E66E7" w:rsidRPr="005E66E7">
        <w:rPr>
          <w:rFonts w:ascii="Calibri" w:hAnsi="Calibri" w:cs="Times New Roman"/>
          <w:i/>
          <w:iCs/>
          <w:szCs w:val="24"/>
        </w:rPr>
        <w:t>Jean-Baptiste Sirey (1762-1845)</w:t>
      </w:r>
      <w:r w:rsidR="005E66E7" w:rsidRPr="005E66E7">
        <w:rPr>
          <w:rFonts w:ascii="Calibri" w:hAnsi="Calibri" w:cs="Times New Roman"/>
          <w:szCs w:val="24"/>
        </w:rPr>
        <w:t xml:space="preserve"> [en ligne], Dalloz, 2014, [consulté le 11 juin 2019] ;  KOUBI Geneviève, « Les « sélections » de citations… - ... en marge du séminaire du CERSA sur “Le plagiat de la recherche” », sur </w:t>
      </w:r>
      <w:r w:rsidR="005E66E7" w:rsidRPr="005E66E7">
        <w:rPr>
          <w:rFonts w:ascii="Calibri" w:hAnsi="Calibri" w:cs="Times New Roman"/>
          <w:i/>
          <w:iCs/>
          <w:szCs w:val="24"/>
        </w:rPr>
        <w:t xml:space="preserve">Droit </w:t>
      </w:r>
      <w:proofErr w:type="spellStart"/>
      <w:r w:rsidR="005E66E7" w:rsidRPr="005E66E7">
        <w:rPr>
          <w:rFonts w:ascii="Calibri" w:hAnsi="Calibri" w:cs="Times New Roman"/>
          <w:i/>
          <w:iCs/>
          <w:szCs w:val="24"/>
        </w:rPr>
        <w:t>CriTIC</w:t>
      </w:r>
      <w:proofErr w:type="spellEnd"/>
      <w:r w:rsidR="005E66E7" w:rsidRPr="005E66E7">
        <w:rPr>
          <w:rFonts w:ascii="Calibri" w:hAnsi="Calibri" w:cs="Times New Roman"/>
          <w:szCs w:val="24"/>
        </w:rPr>
        <w:t xml:space="preserve"> [en ligne], publié le 7 décembre 2010, [consulté le 11 juin 2019] ;  GOGOS-GINTRAND Amélie, « Le pacte commissoire : une institution dangereuse par nature », </w:t>
      </w:r>
      <w:proofErr w:type="spellStart"/>
      <w:r w:rsidR="005E66E7" w:rsidRPr="005E66E7">
        <w:rPr>
          <w:rFonts w:ascii="Calibri" w:hAnsi="Calibri" w:cs="Times New Roman"/>
          <w:i/>
          <w:iCs/>
          <w:szCs w:val="24"/>
        </w:rPr>
        <w:t>Rev</w:t>
      </w:r>
      <w:proofErr w:type="spellEnd"/>
      <w:r w:rsidR="005E66E7" w:rsidRPr="005E66E7">
        <w:rPr>
          <w:rFonts w:ascii="Calibri" w:hAnsi="Calibri" w:cs="Times New Roman"/>
          <w:i/>
          <w:iCs/>
          <w:szCs w:val="24"/>
        </w:rPr>
        <w:t xml:space="preserve">. </w:t>
      </w:r>
      <w:proofErr w:type="spellStart"/>
      <w:proofErr w:type="gramStart"/>
      <w:r w:rsidR="005E66E7" w:rsidRPr="005E66E7">
        <w:rPr>
          <w:rFonts w:ascii="Calibri" w:hAnsi="Calibri" w:cs="Times New Roman"/>
          <w:i/>
          <w:iCs/>
          <w:szCs w:val="24"/>
        </w:rPr>
        <w:t>rech</w:t>
      </w:r>
      <w:proofErr w:type="spellEnd"/>
      <w:proofErr w:type="gramEnd"/>
      <w:r w:rsidR="005E66E7" w:rsidRPr="005E66E7">
        <w:rPr>
          <w:rFonts w:ascii="Calibri" w:hAnsi="Calibri" w:cs="Times New Roman"/>
          <w:i/>
          <w:iCs/>
          <w:szCs w:val="24"/>
        </w:rPr>
        <w:t xml:space="preserve">. </w:t>
      </w:r>
      <w:proofErr w:type="spellStart"/>
      <w:r w:rsidR="005E66E7" w:rsidRPr="005E66E7">
        <w:rPr>
          <w:rFonts w:ascii="Calibri" w:hAnsi="Calibri" w:cs="Times New Roman"/>
          <w:i/>
          <w:iCs/>
          <w:szCs w:val="24"/>
        </w:rPr>
        <w:t>jurid</w:t>
      </w:r>
      <w:proofErr w:type="spellEnd"/>
      <w:r w:rsidR="005E66E7" w:rsidRPr="005E66E7">
        <w:rPr>
          <w:rFonts w:ascii="Calibri" w:hAnsi="Calibri" w:cs="Times New Roman"/>
          <w:i/>
          <w:iCs/>
          <w:szCs w:val="24"/>
        </w:rPr>
        <w:t>., droit prospect.</w:t>
      </w:r>
      <w:r w:rsidR="005E66E7" w:rsidRPr="005E66E7">
        <w:rPr>
          <w:rFonts w:ascii="Calibri" w:hAnsi="Calibri" w:cs="Times New Roman"/>
          <w:szCs w:val="24"/>
        </w:rPr>
        <w:t xml:space="preserve">, 2011, p. 412 </w:t>
      </w:r>
      <w:proofErr w:type="spellStart"/>
      <w:r w:rsidR="005E66E7" w:rsidRPr="005E66E7">
        <w:rPr>
          <w:rFonts w:ascii="Calibri" w:hAnsi="Calibri" w:cs="Times New Roman"/>
          <w:szCs w:val="24"/>
        </w:rPr>
        <w:t>spec</w:t>
      </w:r>
      <w:proofErr w:type="spellEnd"/>
      <w:r w:rsidR="005E66E7" w:rsidRPr="005E66E7">
        <w:rPr>
          <w:rFonts w:ascii="Calibri" w:hAnsi="Calibri" w:cs="Times New Roman"/>
          <w:szCs w:val="24"/>
        </w:rPr>
        <w:t xml:space="preserve">. </w:t>
      </w:r>
      <w:bookmarkStart w:id="0" w:name="_GoBack"/>
      <w:bookmarkEnd w:id="0"/>
    </w:p>
  </w:footnote>
  <w:footnote w:id="2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E6F34">
        <w:rPr>
          <w:rFonts w:ascii="Calibri" w:hAnsi="Calibri" w:cs="Times New Roman"/>
          <w:szCs w:val="24"/>
        </w:rPr>
        <w:t xml:space="preserve">BARTHE Emmanuel, </w:t>
      </w:r>
      <w:r w:rsidRPr="009E6F34">
        <w:rPr>
          <w:rFonts w:ascii="Calibri" w:hAnsi="Calibri" w:cs="Times New Roman"/>
          <w:i/>
          <w:iCs/>
          <w:szCs w:val="24"/>
        </w:rPr>
        <w:t>Precisement.org - Documentation. Droit. Internet. Blog</w:t>
      </w:r>
      <w:r w:rsidRPr="009E6F34">
        <w:rPr>
          <w:rFonts w:ascii="Calibri" w:hAnsi="Calibri" w:cs="Times New Roman"/>
          <w:szCs w:val="24"/>
        </w:rPr>
        <w:t xml:space="preserve"> [en ligne], [consulté le 11 juin 2019] ;  LAVILLE Elisabeth, « Comment « engager les entreprises sur la voie de la neutralité plastique » » [en ligne], </w:t>
      </w:r>
      <w:r w:rsidRPr="009E6F34">
        <w:rPr>
          <w:rFonts w:ascii="Calibri" w:hAnsi="Calibri" w:cs="Times New Roman"/>
          <w:i/>
          <w:iCs/>
          <w:szCs w:val="24"/>
        </w:rPr>
        <w:t>Le Monde</w:t>
      </w:r>
      <w:r w:rsidRPr="009E6F34">
        <w:rPr>
          <w:rFonts w:ascii="Calibri" w:hAnsi="Calibri" w:cs="Times New Roman"/>
          <w:szCs w:val="24"/>
        </w:rPr>
        <w:t>, 9 juin 2019, [consulté le 11 juin 2019].</w:t>
      </w:r>
    </w:p>
  </w:footnote>
  <w:footnote w:id="3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E6F34">
        <w:rPr>
          <w:rFonts w:ascii="Calibri" w:hAnsi="Calibri" w:cs="Times New Roman"/>
          <w:szCs w:val="24"/>
        </w:rPr>
        <w:t>AYAD-BERGOUNIOUX Soulef (</w:t>
      </w:r>
      <w:proofErr w:type="spellStart"/>
      <w:r w:rsidRPr="009E6F34">
        <w:rPr>
          <w:rFonts w:ascii="Calibri" w:hAnsi="Calibri" w:cs="Times New Roman"/>
          <w:szCs w:val="24"/>
        </w:rPr>
        <w:t>dir</w:t>
      </w:r>
      <w:proofErr w:type="spellEnd"/>
      <w:r w:rsidRPr="009E6F34">
        <w:rPr>
          <w:rFonts w:ascii="Calibri" w:hAnsi="Calibri" w:cs="Times New Roman"/>
          <w:szCs w:val="24"/>
        </w:rPr>
        <w:t xml:space="preserve">.), </w:t>
      </w:r>
      <w:r w:rsidRPr="009E6F34">
        <w:rPr>
          <w:rFonts w:ascii="Calibri" w:hAnsi="Calibri" w:cs="Times New Roman"/>
          <w:i/>
          <w:iCs/>
          <w:szCs w:val="24"/>
        </w:rPr>
        <w:t>Les logiques du droit</w:t>
      </w:r>
      <w:r w:rsidRPr="009E6F34">
        <w:rPr>
          <w:rFonts w:ascii="Calibri" w:hAnsi="Calibri" w:cs="Times New Roman"/>
          <w:szCs w:val="24"/>
        </w:rPr>
        <w:t xml:space="preserve">, mare &amp; martin, 2018 ;  PACTEAU Bernard, </w:t>
      </w:r>
      <w:r w:rsidRPr="009E6F34">
        <w:rPr>
          <w:rFonts w:ascii="Calibri" w:hAnsi="Calibri" w:cs="Times New Roman"/>
          <w:i/>
          <w:iCs/>
          <w:szCs w:val="24"/>
        </w:rPr>
        <w:t>Manuel de contentieux administratif</w:t>
      </w:r>
      <w:r w:rsidRPr="009E6F34">
        <w:rPr>
          <w:rFonts w:ascii="Calibri" w:hAnsi="Calibri" w:cs="Times New Roman"/>
          <w:szCs w:val="24"/>
        </w:rPr>
        <w:t xml:space="preserve">, Presses universitaires de France, 2006 ;  SEBAT Henri et ALEXANDRE-CASELLI Claudine, « De l’incompréhension réductible entre recherche juridique et sciences économiques », in </w:t>
      </w:r>
      <w:r w:rsidRPr="009E6F34">
        <w:rPr>
          <w:rFonts w:ascii="Calibri" w:hAnsi="Calibri" w:cs="Times New Roman"/>
          <w:i/>
          <w:iCs/>
          <w:szCs w:val="24"/>
        </w:rPr>
        <w:t xml:space="preserve">Mélanges Alain </w:t>
      </w:r>
      <w:proofErr w:type="spellStart"/>
      <w:r w:rsidRPr="009E6F34">
        <w:rPr>
          <w:rFonts w:ascii="Calibri" w:hAnsi="Calibri" w:cs="Times New Roman"/>
          <w:i/>
          <w:iCs/>
          <w:szCs w:val="24"/>
        </w:rPr>
        <w:t>Sayag</w:t>
      </w:r>
      <w:proofErr w:type="spellEnd"/>
      <w:r w:rsidRPr="009E6F34">
        <w:rPr>
          <w:rFonts w:ascii="Calibri" w:hAnsi="Calibri" w:cs="Times New Roman"/>
          <w:szCs w:val="24"/>
        </w:rPr>
        <w:t xml:space="preserve">, </w:t>
      </w:r>
      <w:proofErr w:type="spellStart"/>
      <w:r w:rsidRPr="009E6F34">
        <w:rPr>
          <w:rFonts w:ascii="Calibri" w:hAnsi="Calibri" w:cs="Times New Roman"/>
          <w:szCs w:val="24"/>
        </w:rPr>
        <w:t>Litec</w:t>
      </w:r>
      <w:proofErr w:type="spellEnd"/>
      <w:r w:rsidRPr="009E6F34">
        <w:rPr>
          <w:rFonts w:ascii="Calibri" w:hAnsi="Calibri" w:cs="Times New Roman"/>
          <w:szCs w:val="24"/>
        </w:rPr>
        <w:t>, 1997.</w:t>
      </w:r>
    </w:p>
  </w:footnote>
  <w:footnote w:id="4">
    <w:p w:rsidR="00352707" w:rsidRDefault="0035270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52707">
        <w:rPr>
          <w:rFonts w:ascii="Calibri" w:hAnsi="Calibri" w:cs="Times New Roman"/>
          <w:szCs w:val="24"/>
        </w:rPr>
        <w:t xml:space="preserve">SEBAT Henri et ALEXANDRE-CASELLI Claudine, </w:t>
      </w:r>
      <w:r w:rsidRPr="00352707">
        <w:rPr>
          <w:rFonts w:ascii="Calibri" w:hAnsi="Calibri" w:cs="Times New Roman"/>
          <w:i/>
          <w:iCs/>
          <w:szCs w:val="24"/>
        </w:rPr>
        <w:t>op. </w:t>
      </w:r>
      <w:proofErr w:type="spellStart"/>
      <w:proofErr w:type="gramStart"/>
      <w:r w:rsidRPr="00352707">
        <w:rPr>
          <w:rFonts w:ascii="Calibri" w:hAnsi="Calibri" w:cs="Times New Roman"/>
          <w:i/>
          <w:iCs/>
          <w:szCs w:val="24"/>
        </w:rPr>
        <w:t>cit</w:t>
      </w:r>
      <w:proofErr w:type="spellEnd"/>
      <w:proofErr w:type="gramEnd"/>
      <w:r w:rsidRPr="00352707">
        <w:rPr>
          <w:rFonts w:ascii="Calibri" w:hAnsi="Calibri" w:cs="Times New Roman"/>
          <w:i/>
          <w:iCs/>
          <w:szCs w:val="24"/>
        </w:rPr>
        <w:t>.</w:t>
      </w:r>
    </w:p>
  </w:footnote>
  <w:footnote w:id="5">
    <w:p w:rsidR="00352707" w:rsidRPr="002453C7" w:rsidRDefault="00352707">
      <w:pPr>
        <w:pStyle w:val="Notedebasdepage"/>
      </w:pPr>
      <w:r>
        <w:rPr>
          <w:rStyle w:val="Appelnotedebasdep"/>
        </w:rPr>
        <w:footnoteRef/>
      </w:r>
      <w:r w:rsidRPr="002453C7">
        <w:t xml:space="preserve"> </w:t>
      </w:r>
      <w:r w:rsidRPr="002453C7">
        <w:rPr>
          <w:rFonts w:ascii="Calibri" w:hAnsi="Calibri" w:cs="Times New Roman"/>
          <w:i/>
          <w:iCs/>
          <w:szCs w:val="24"/>
        </w:rPr>
        <w:t>Ibid.</w:t>
      </w:r>
      <w:r w:rsidRPr="002453C7">
        <w:rPr>
          <w:rFonts w:ascii="Calibri" w:hAnsi="Calibri" w:cs="Times New Roman"/>
          <w:szCs w:val="24"/>
        </w:rPr>
        <w:t>, p. 89.</w:t>
      </w:r>
    </w:p>
  </w:footnote>
  <w:footnote w:id="6">
    <w:p w:rsidR="00352707" w:rsidRDefault="00352707">
      <w:pPr>
        <w:pStyle w:val="Notedebasdepage"/>
      </w:pPr>
      <w:r>
        <w:rPr>
          <w:rStyle w:val="Appelnotedebasdep"/>
        </w:rPr>
        <w:footnoteRef/>
      </w:r>
      <w:r w:rsidRPr="00057159">
        <w:t xml:space="preserve"> </w:t>
      </w:r>
      <w:r w:rsidR="00057159" w:rsidRPr="00057159">
        <w:rPr>
          <w:rFonts w:ascii="Calibri" w:hAnsi="Calibri" w:cs="Times New Roman"/>
          <w:szCs w:val="24"/>
        </w:rPr>
        <w:t xml:space="preserve">Les principales sources sont : MANCIAUX Sébastien, L’implication d’investisseurs étrangers dans certaines violations des droits de l’homme, in </w:t>
      </w:r>
      <w:proofErr w:type="spellStart"/>
      <w:r w:rsidR="00057159" w:rsidRPr="00057159">
        <w:rPr>
          <w:rFonts w:ascii="Calibri" w:hAnsi="Calibri" w:cs="Times New Roman"/>
          <w:szCs w:val="24"/>
        </w:rPr>
        <w:t>Dockès</w:t>
      </w:r>
      <w:proofErr w:type="spellEnd"/>
      <w:r w:rsidR="00057159" w:rsidRPr="00057159">
        <w:rPr>
          <w:rFonts w:ascii="Calibri" w:hAnsi="Calibri" w:cs="Times New Roman"/>
          <w:szCs w:val="24"/>
        </w:rPr>
        <w:t xml:space="preserve"> Emmanuel (</w:t>
      </w:r>
      <w:proofErr w:type="spellStart"/>
      <w:r w:rsidR="00057159" w:rsidRPr="00057159">
        <w:rPr>
          <w:rFonts w:ascii="Calibri" w:hAnsi="Calibri" w:cs="Times New Roman"/>
          <w:szCs w:val="24"/>
        </w:rPr>
        <w:t>dir</w:t>
      </w:r>
      <w:proofErr w:type="spellEnd"/>
      <w:r w:rsidR="00057159" w:rsidRPr="00057159">
        <w:rPr>
          <w:rFonts w:ascii="Calibri" w:hAnsi="Calibri" w:cs="Times New Roman"/>
          <w:szCs w:val="24"/>
        </w:rPr>
        <w:t xml:space="preserve">.), </w:t>
      </w:r>
      <w:r w:rsidR="00057159" w:rsidRPr="00057159">
        <w:rPr>
          <w:rFonts w:ascii="Calibri" w:hAnsi="Calibri" w:cs="Times New Roman"/>
          <w:i/>
          <w:iCs/>
          <w:szCs w:val="24"/>
        </w:rPr>
        <w:t xml:space="preserve">Au </w:t>
      </w:r>
      <w:proofErr w:type="spellStart"/>
      <w:r w:rsidR="00057159" w:rsidRPr="00057159">
        <w:rPr>
          <w:rFonts w:ascii="Calibri" w:hAnsi="Calibri" w:cs="Times New Roman"/>
          <w:i/>
          <w:iCs/>
          <w:szCs w:val="24"/>
        </w:rPr>
        <w:t>coeur</w:t>
      </w:r>
      <w:proofErr w:type="spellEnd"/>
      <w:r w:rsidR="00057159" w:rsidRPr="00057159">
        <w:rPr>
          <w:rFonts w:ascii="Calibri" w:hAnsi="Calibri" w:cs="Times New Roman"/>
          <w:i/>
          <w:iCs/>
          <w:szCs w:val="24"/>
        </w:rPr>
        <w:t xml:space="preserve"> de</w:t>
      </w:r>
      <w:r w:rsidR="00057159" w:rsidRPr="002453C7">
        <w:rPr>
          <w:rFonts w:ascii="Calibri" w:hAnsi="Calibri" w:cs="Times New Roman"/>
          <w:i/>
          <w:iCs/>
          <w:szCs w:val="24"/>
        </w:rPr>
        <w:t xml:space="preserve">s combats juridiques. </w:t>
      </w:r>
      <w:r w:rsidR="00057159" w:rsidRPr="00057159">
        <w:rPr>
          <w:rFonts w:ascii="Calibri" w:hAnsi="Calibri" w:cs="Times New Roman"/>
          <w:i/>
          <w:iCs/>
          <w:szCs w:val="24"/>
        </w:rPr>
        <w:t>Pensées et témoignages de juristes engagés</w:t>
      </w:r>
      <w:r w:rsidR="00057159" w:rsidRPr="00057159">
        <w:rPr>
          <w:rFonts w:ascii="Calibri" w:hAnsi="Calibri" w:cs="Times New Roman"/>
          <w:szCs w:val="24"/>
        </w:rPr>
        <w:t xml:space="preserve">, Dalloz, 2007, [consulté le 11 juin 2019] ;  PATURET Arnaud, « Sujet, objet, </w:t>
      </w:r>
      <w:proofErr w:type="spellStart"/>
      <w:r w:rsidR="00057159" w:rsidRPr="00057159">
        <w:rPr>
          <w:rFonts w:ascii="Calibri" w:hAnsi="Calibri" w:cs="Times New Roman"/>
          <w:szCs w:val="24"/>
        </w:rPr>
        <w:t>res</w:t>
      </w:r>
      <w:proofErr w:type="spellEnd"/>
      <w:r w:rsidR="00057159" w:rsidRPr="00057159">
        <w:rPr>
          <w:rFonts w:ascii="Calibri" w:hAnsi="Calibri" w:cs="Times New Roman"/>
          <w:szCs w:val="24"/>
        </w:rPr>
        <w:t xml:space="preserve"> et nature » [en ligne], </w:t>
      </w:r>
      <w:r w:rsidR="00057159" w:rsidRPr="00057159">
        <w:rPr>
          <w:rFonts w:ascii="Calibri" w:hAnsi="Calibri" w:cs="Times New Roman"/>
          <w:i/>
          <w:iCs/>
          <w:szCs w:val="24"/>
        </w:rPr>
        <w:t>IJSL</w:t>
      </w:r>
      <w:r w:rsidR="00057159" w:rsidRPr="00057159">
        <w:rPr>
          <w:rFonts w:ascii="Calibri" w:hAnsi="Calibri" w:cs="Times New Roman"/>
          <w:szCs w:val="24"/>
        </w:rPr>
        <w:t>, 2019, [consulté le 11 juin 2019].</w:t>
      </w:r>
    </w:p>
  </w:footnote>
  <w:footnote w:id="7">
    <w:p w:rsidR="00352707" w:rsidRDefault="0035270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52707">
        <w:rPr>
          <w:rFonts w:ascii="Calibri" w:hAnsi="Calibri" w:cs="Times New Roman"/>
          <w:szCs w:val="24"/>
        </w:rPr>
        <w:t xml:space="preserve">FRANCE, MINISTÈRE DE L’ENSEIGNEMENT SUPÉRIEUR ET DE LA RECHERCHE, </w:t>
      </w:r>
      <w:r w:rsidRPr="00352707">
        <w:rPr>
          <w:rFonts w:ascii="Calibri" w:hAnsi="Calibri" w:cs="Times New Roman"/>
          <w:i/>
          <w:iCs/>
          <w:szCs w:val="24"/>
        </w:rPr>
        <w:t>Décret n° 2019-209 du 20 mars 2019 portant création de l’université de Paris et approbation de ses statuts</w:t>
      </w:r>
      <w:r w:rsidRPr="00352707">
        <w:rPr>
          <w:rFonts w:ascii="Calibri" w:hAnsi="Calibri" w:cs="Times New Roman"/>
          <w:szCs w:val="24"/>
        </w:rPr>
        <w:t>, Journal officiel, n</w:t>
      </w:r>
      <w:r w:rsidRPr="00352707">
        <w:rPr>
          <w:rFonts w:ascii="Calibri" w:hAnsi="Calibri" w:cs="Times New Roman"/>
          <w:szCs w:val="24"/>
          <w:vertAlign w:val="superscript"/>
        </w:rPr>
        <w:t>o</w:t>
      </w:r>
      <w:r w:rsidRPr="00352707">
        <w:rPr>
          <w:rFonts w:ascii="Calibri" w:hAnsi="Calibri" w:cs="Times New Roman"/>
          <w:szCs w:val="24"/>
        </w:rPr>
        <w:t> 209, 21 mars 2019.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FF"/>
    <w:rsid w:val="00057159"/>
    <w:rsid w:val="002453C7"/>
    <w:rsid w:val="00352707"/>
    <w:rsid w:val="005E66E7"/>
    <w:rsid w:val="00603CC6"/>
    <w:rsid w:val="009E6F34"/>
    <w:rsid w:val="00AE3BC5"/>
    <w:rsid w:val="00BF7DFF"/>
    <w:rsid w:val="00E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A335-D918-4BF5-957E-04E078B1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1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D1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D1B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B6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D1B6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D1B6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6F3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6F3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6F34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352707"/>
    <w:pPr>
      <w:spacing w:after="24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3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Flamerie De Lachapelle</dc:creator>
  <cp:keywords/>
  <dc:description/>
  <cp:lastModifiedBy>Frédérique Flamerie De Lachapelle</cp:lastModifiedBy>
  <cp:revision>3</cp:revision>
  <cp:lastPrinted>2019-06-14T15:56:00Z</cp:lastPrinted>
  <dcterms:created xsi:type="dcterms:W3CDTF">2019-06-14T16:15:00Z</dcterms:created>
  <dcterms:modified xsi:type="dcterms:W3CDTF">2019-06-14T16:16:00Z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id="eHNKis7q"/&gt;&lt;style id="http://www.zotero.org/styles/universite-de-bordeaux-ecole-doctorale-de-droit" hasBibliography="1" bibliographyStyleHasBeenSet="1"/&gt;&lt;prefs&gt;&lt;pref name="fieldType" value="Field</vt:lpwstr>
  </property>
  <property fmtid="{D5CDD505-2E9C-101B-9397-08002B2CF9AE}" pid="3" name="ZOTERO_PREF_2">
    <vt:lpwstr>"/&gt;&lt;pref name="noteType" value="1"/&gt;&lt;/prefs&gt;&lt;/data&gt;</vt:lpwstr>
  </property>
</Properties>
</file>