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r>
        <w:rPr>
          <w:lang w:eastAsia="en-US"/>
        </w:rPr>
        <w:t>OpenAlex, Matilda et autres « bases de données hybrides »</w:t>
      </w:r>
    </w:p>
    <w:p>
      <w:pPr>
        <w:pStyle w:val="Normal"/>
        <w:rPr>
          <w:lang w:eastAsia="en-US"/>
        </w:rPr>
      </w:pPr>
      <w:r>
        <w:rPr>
          <w:lang w:eastAsia="en-US"/>
        </w:rPr>
        <w:t>La dénomination « base de données hybride » ou « base de données tierce » (</w:t>
      </w:r>
      <w:r>
        <w:rPr>
          <w:i/>
          <w:iCs/>
          <w:lang w:eastAsia="en-US"/>
        </w:rPr>
        <w:t>third-party database</w:t>
      </w:r>
      <w:r>
        <w:rPr>
          <w:lang w:eastAsia="en-US"/>
        </w:rPr>
        <w:t>) désigne un service qui partage certaines caractéristiques des moteurs de recherche académiques (Google Scholar, Semantic Scholar) telles que le modèle d’accès, mais s’en distingue à différents titres, notamment le fait d’être alimenté par des bases de données tierces.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Voir : </w:t>
      </w:r>
      <w:r>
        <w:rPr/>
        <w:t xml:space="preserve">Delgado-Quirós, L., &amp; Ortega, J. L. (2024). Completeness degree of publication metadata in eight free-access scholarly databases. </w:t>
      </w:r>
      <w:r>
        <w:rPr>
          <w:i/>
        </w:rPr>
        <w:t>Quantitative Science Studies</w:t>
      </w:r>
      <w:r>
        <w:rPr/>
        <w:t xml:space="preserve">, </w:t>
      </w:r>
      <w:r>
        <w:rPr>
          <w:i/>
        </w:rPr>
        <w:t>5</w:t>
      </w:r>
      <w:r>
        <w:rPr/>
        <w:t>(1), 31</w:t>
        <w:noBreakHyphen/>
        <w:t xml:space="preserve">49. </w:t>
      </w:r>
      <w:hyperlink r:id="rId8">
        <w:r>
          <w:rPr>
            <w:rStyle w:val="Hyperlink"/>
          </w:rPr>
          <w:t>https://doi.org/10.1162/qss_a_00286</w:t>
        </w:r>
      </w:hyperlink>
    </w:p>
    <w:p>
      <w:pPr>
        <w:pStyle w:val="Normal"/>
        <w:rPr>
          <w:lang w:eastAsia="en-US"/>
        </w:rPr>
      </w:pPr>
      <w:r>
        <w:rPr/>
      </w:r>
    </w:p>
    <w:tbl>
      <w:tblPr>
        <w:tblStyle w:val="TableauGrille4-Accentuation1"/>
        <w:tblW w:w="15646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760"/>
        <w:gridCol w:w="4771"/>
        <w:gridCol w:w="4407"/>
        <w:gridCol w:w="47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B</w:t>
            </w: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ase de données</w:t>
            </w:r>
          </w:p>
        </w:tc>
        <w:tc>
          <w:tcPr>
            <w:tcW w:w="47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Couverture et sources de données</w:t>
            </w:r>
          </w:p>
        </w:tc>
        <w:tc>
          <w:tcPr>
            <w:tcW w:w="44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Recherche</w:t>
            </w:r>
          </w:p>
        </w:tc>
        <w:tc>
          <w:tcPr>
            <w:tcW w:w="47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sz w:val="18"/>
                <w:szCs w:val="18"/>
                <w:lang w:eastAsia="en-US"/>
              </w:rPr>
              <w:t>Exports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OpenAlex</w:t>
            </w:r>
          </w:p>
        </w:tc>
        <w:tc>
          <w:tcPr>
            <w:tcW w:w="477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Microsoft Academic Graph,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avec des données d’autres sources ouvertes telles que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Crossref, PubM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ed et 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ORCID. 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240 million</w:t>
            </w: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s de</w:t>
            </w:r>
            <w:r>
              <w:rPr>
                <w:b/>
                <w:bCs/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 xml:space="preserve"> publications</w:t>
            </w:r>
            <w:r>
              <w:rPr>
                <w:color w:val="auto"/>
                <w:spacing w:val="6"/>
                <w:kern w:val="0"/>
                <w:sz w:val="24"/>
                <w:szCs w:val="24"/>
                <w:lang w:val="fr-FR" w:eastAsia="fr-FR" w:bidi="ar-SA"/>
              </w:rPr>
              <w:t>*</w:t>
            </w:r>
          </w:p>
        </w:tc>
        <w:tc>
          <w:tcPr>
            <w:tcW w:w="4407" w:type="dxa"/>
            <w:tcBorders>
              <w:right w:val="nil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 Syntaxe peu documentée, pas de recherche d’</w:t>
            </w:r>
            <w:hyperlink r:id="rId9">
              <w:r>
                <w:rPr>
                  <w:rStyle w:val="Hyperlink"/>
                  <w:color w:val="auto"/>
                  <w:kern w:val="0"/>
                  <w:sz w:val="24"/>
                  <w:szCs w:val="24"/>
                  <w:lang w:val="fr-FR" w:eastAsia="fr-FR" w:bidi="ar-SA"/>
                </w:rPr>
                <w:t>expression exacte</w:t>
              </w:r>
            </w:hyperlink>
          </w:p>
        </w:tc>
        <w:tc>
          <w:tcPr>
            <w:tcW w:w="470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color w:val="auto"/>
                <w:sz w:val="24"/>
                <w:szCs w:val="24"/>
              </w:rPr>
              <w:t> </w:t>
            </w:r>
            <w:r>
              <w:rPr>
                <w:color w:val="auto"/>
                <w:sz w:val="24"/>
                <w:szCs w:val="24"/>
              </w:rPr>
              <w:t>J</w:t>
            </w:r>
            <w:r>
              <w:rPr>
                <w:color w:val="auto"/>
                <w:sz w:val="24"/>
                <w:szCs w:val="24"/>
              </w:rPr>
              <w:t xml:space="preserve">usqu’à 100’000 résultats au format </w:t>
            </w:r>
            <w:r>
              <w:rPr>
                <w:color w:val="auto"/>
                <w:sz w:val="24"/>
                <w:szCs w:val="24"/>
              </w:rPr>
              <w:t xml:space="preserve">CSV, </w:t>
            </w:r>
            <w:r>
              <w:rPr>
                <w:color w:val="auto"/>
                <w:sz w:val="24"/>
                <w:szCs w:val="24"/>
              </w:rPr>
              <w:t>RIS ou BiB</w:t>
            </w:r>
            <w:r>
              <w:rPr>
                <w:color w:val="auto"/>
                <w:sz w:val="24"/>
                <w:szCs w:val="24"/>
              </w:rPr>
              <w:t>TeX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Dimensions</w:t>
            </w:r>
          </w:p>
        </w:tc>
        <w:tc>
          <w:tcPr>
            <w:tcW w:w="4771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Essentiellement Crossref,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>138 million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>s de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 publications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(h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or brevets, bases de données et 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projets)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>*</w:t>
            </w:r>
          </w:p>
        </w:tc>
        <w:tc>
          <w:tcPr>
            <w:tcW w:w="4407" w:type="dxa"/>
            <w:tcBorders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color w:val="auto"/>
                <w:kern w:val="0"/>
                <w:sz w:val="24"/>
                <w:szCs w:val="24"/>
                <w:lang w:val="fr-FR" w:eastAsia="fr-FR" w:bidi="ar-SA"/>
              </w:rPr>
              <w:t xml:space="preserve">  options très limitées dans la </w:t>
            </w:r>
            <w:hyperlink r:id="rId10">
              <w:r>
                <w:rPr>
                  <w:rStyle w:val="Hyperlink"/>
                  <w:color w:val="auto"/>
                  <w:kern w:val="0"/>
                  <w:sz w:val="24"/>
                  <w:szCs w:val="24"/>
                  <w:lang w:val="fr-FR" w:eastAsia="fr-FR" w:bidi="ar-SA"/>
                </w:rPr>
                <w:t>version gratuite</w:t>
              </w:r>
            </w:hyperlink>
          </w:p>
        </w:tc>
        <w:tc>
          <w:tcPr>
            <w:tcW w:w="4708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J</w:t>
            </w:r>
            <w:r>
              <w:rPr>
                <w:color w:val="auto"/>
                <w:sz w:val="24"/>
                <w:szCs w:val="24"/>
              </w:rPr>
              <w:t>usqu’à 500 résultats avec la version gratuite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kern w:val="0"/>
                <w:sz w:val="24"/>
                <w:szCs w:val="24"/>
                <w:lang w:val="fr-FR" w:eastAsia="fr-FR" w:bidi="ar-SA"/>
              </w:rPr>
              <w:t>The Lens</w:t>
            </w:r>
          </w:p>
        </w:tc>
        <w:tc>
          <w:tcPr>
            <w:tcW w:w="477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pacing w:val="10"/>
                <w:sz w:val="24"/>
                <w:szCs w:val="24"/>
              </w:rPr>
            </w:pP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Crossref, PubMed </w:t>
            </w: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et </w:t>
            </w:r>
            <w:r>
              <w:rPr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Microsoft Academic </w:t>
            </w:r>
            <w:r>
              <w:rPr>
                <w:b/>
                <w:bCs/>
                <w:color w:val="auto"/>
                <w:spacing w:val="10"/>
                <w:kern w:val="0"/>
                <w:sz w:val="24"/>
                <w:szCs w:val="24"/>
                <w:lang w:val="fr-FR" w:eastAsia="fr-FR" w:bidi="ar-SA"/>
              </w:rPr>
              <w:t xml:space="preserve">&gt; 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225 million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s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auto"/>
                <w:spacing w:val="10"/>
                <w:sz w:val="24"/>
                <w:szCs w:val="24"/>
              </w:rPr>
              <w:t>de publications</w:t>
            </w:r>
            <w:r>
              <w:rPr>
                <w:color w:val="auto"/>
                <w:spacing w:val="10"/>
                <w:sz w:val="24"/>
                <w:szCs w:val="24"/>
              </w:rPr>
              <w:t xml:space="preserve"> (hors brevets)*</w:t>
            </w:r>
          </w:p>
        </w:tc>
        <w:tc>
          <w:tcPr>
            <w:tcW w:w="4407" w:type="dxa"/>
            <w:tcBorders>
              <w:right w:val="nil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S</w:t>
            </w:r>
            <w:r>
              <w:rPr>
                <w:kern w:val="0"/>
                <w:sz w:val="24"/>
                <w:szCs w:val="24"/>
                <w:lang w:val="fr-FR" w:eastAsia="fr-FR" w:bidi="ar-SA"/>
              </w:rPr>
              <w:t>yntaxe riche et documentée (recherche d’expressions régulières), formulaire de recherche avancée</w:t>
            </w:r>
          </w:p>
        </w:tc>
        <w:tc>
          <w:tcPr>
            <w:tcW w:w="470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4"/>
                <w:szCs w:val="24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++</w:t>
            </w:r>
            <w:r>
              <w:rPr>
                <w:spacing w:val="4"/>
                <w:sz w:val="24"/>
                <w:szCs w:val="24"/>
              </w:rPr>
              <w:t> </w:t>
            </w:r>
            <w:r>
              <w:rPr>
                <w:spacing w:val="4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 xml:space="preserve">usqu’à 50’000 résultats au format </w:t>
            </w:r>
            <w:r>
              <w:rPr>
                <w:spacing w:val="4"/>
                <w:sz w:val="24"/>
                <w:szCs w:val="24"/>
              </w:rPr>
              <w:t xml:space="preserve">CSV, </w:t>
            </w:r>
            <w:r>
              <w:rPr>
                <w:spacing w:val="4"/>
                <w:sz w:val="24"/>
                <w:szCs w:val="24"/>
              </w:rPr>
              <w:t>RIS ou Bib</w:t>
            </w:r>
            <w:r>
              <w:rPr>
                <w:spacing w:val="4"/>
                <w:sz w:val="24"/>
                <w:szCs w:val="24"/>
              </w:rPr>
              <w:t>TeX</w:t>
            </w:r>
            <w:r>
              <w:rPr>
                <w:spacing w:val="4"/>
                <w:sz w:val="24"/>
                <w:szCs w:val="24"/>
              </w:rPr>
              <w:t xml:space="preserve"> via le compte The Lens gratuit ; 1’000 sans authentification</w:t>
            </w:r>
          </w:p>
        </w:tc>
      </w:tr>
      <w:tr>
        <w:trPr/>
        <w:tc>
          <w:tcPr>
            <w:tcW w:w="17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/>
                <w:bCs/>
                <w:i w:val="false"/>
                <w:i w:val="false"/>
                <w:iCs w:val="false"/>
                <w:sz w:val="24"/>
                <w:szCs w:val="24"/>
                <w:lang w:val="fr-FR"/>
              </w:rPr>
            </w:pPr>
            <w:r>
              <w:rPr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ar-SA"/>
              </w:rPr>
              <w:t>Matilda</w:t>
            </w:r>
          </w:p>
        </w:tc>
        <w:tc>
          <w:tcPr>
            <w:tcW w:w="4771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  <w:lang w:val="fr-FR" w:eastAsia="fr-FR" w:bidi="ar-SA"/>
              </w:rPr>
              <w:t xml:space="preserve">ArXiv, </w:t>
            </w:r>
            <w:r>
              <w:rPr>
                <w:spacing w:val="9"/>
                <w:sz w:val="24"/>
                <w:szCs w:val="24"/>
              </w:rPr>
              <w:t xml:space="preserve">PubMed, Crossref, RePEc, HAL, Unpaywall et Orcid </w:t>
            </w:r>
          </w:p>
          <w:p>
            <w:pPr>
              <w:pStyle w:val="BodyText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9"/>
                <w:sz w:val="24"/>
                <w:szCs w:val="24"/>
              </w:rPr>
            </w:pPr>
            <w:r>
              <w:rPr>
                <w:b/>
                <w:bCs/>
                <w:spacing w:val="9"/>
                <w:sz w:val="24"/>
                <w:szCs w:val="24"/>
              </w:rPr>
              <w:t>&gt; 146 million</w:t>
            </w:r>
            <w:r>
              <w:rPr>
                <w:b/>
                <w:bCs/>
                <w:spacing w:val="9"/>
                <w:sz w:val="24"/>
                <w:szCs w:val="24"/>
              </w:rPr>
              <w:t>s</w:t>
            </w:r>
            <w:r>
              <w:rPr>
                <w:b/>
                <w:bCs/>
                <w:spacing w:val="9"/>
                <w:sz w:val="24"/>
                <w:szCs w:val="24"/>
              </w:rPr>
              <w:t xml:space="preserve"> de publications</w:t>
            </w:r>
          </w:p>
        </w:tc>
        <w:tc>
          <w:tcPr>
            <w:tcW w:w="4407" w:type="dxa"/>
            <w:tcBorders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N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ombre de caractères non limité, syntaxe booléenne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b/>
                <w:bCs/>
                <w:color w:val="auto"/>
                <w:spacing w:val="11"/>
                <w:kern w:val="0"/>
                <w:sz w:val="48"/>
                <w:szCs w:val="48"/>
                <w:lang w:val="fr-FR" w:eastAsia="fr-FR" w:bidi="ar-SA"/>
              </w:rPr>
              <w:t>-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 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P</w:t>
            </w:r>
            <w:r>
              <w:rPr>
                <w:spacing w:val="11"/>
                <w:kern w:val="0"/>
                <w:sz w:val="24"/>
                <w:szCs w:val="24"/>
                <w:lang w:val="fr-FR" w:eastAsia="fr-FR" w:bidi="ar-SA"/>
              </w:rPr>
              <w:t>as de troncature, champs de recherche limités</w:t>
            </w:r>
          </w:p>
        </w:tc>
        <w:tc>
          <w:tcPr>
            <w:tcW w:w="4708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24"/>
                <w:szCs w:val="24"/>
              </w:rPr>
            </w:pPr>
            <w:r>
              <w:rPr>
                <w:b/>
                <w:bCs/>
                <w:spacing w:val="4"/>
                <w:kern w:val="0"/>
                <w:sz w:val="40"/>
                <w:szCs w:val="40"/>
                <w:lang w:val="fr-FR" w:eastAsia="fr-FR" w:bidi="ar-SA"/>
              </w:rPr>
              <w:t>+</w:t>
            </w:r>
            <w:r>
              <w:rPr>
                <w:b/>
                <w:bCs/>
                <w:spacing w:val="4"/>
                <w:kern w:val="0"/>
                <w:sz w:val="44"/>
                <w:szCs w:val="44"/>
                <w:lang w:val="fr-FR" w:eastAsia="fr-FR" w:bidi="ar-SA"/>
              </w:rPr>
              <w:t xml:space="preserve"> </w:t>
            </w:r>
            <w:r>
              <w:rPr>
                <w:spacing w:val="11"/>
                <w:sz w:val="24"/>
                <w:szCs w:val="24"/>
              </w:rPr>
              <w:t>E</w:t>
            </w:r>
            <w:r>
              <w:rPr>
                <w:spacing w:val="11"/>
                <w:sz w:val="24"/>
                <w:szCs w:val="24"/>
              </w:rPr>
              <w:t>xport BibTex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11"/>
                <w:kern w:val="0"/>
                <w:sz w:val="48"/>
                <w:szCs w:val="48"/>
                <w:lang w:val="fr-FR" w:eastAsia="fr-FR" w:bidi="ar-SA"/>
              </w:rPr>
              <w:t>--</w:t>
            </w:r>
            <w:r>
              <w:rPr>
                <w:spacing w:val="11"/>
                <w:sz w:val="24"/>
                <w:szCs w:val="24"/>
              </w:rPr>
              <w:t> </w:t>
            </w:r>
            <w:r>
              <w:rPr>
                <w:spacing w:val="11"/>
                <w:sz w:val="24"/>
                <w:szCs w:val="24"/>
              </w:rPr>
              <w:t>P</w:t>
            </w:r>
            <w:r>
              <w:rPr>
                <w:spacing w:val="11"/>
                <w:sz w:val="24"/>
                <w:szCs w:val="24"/>
              </w:rPr>
              <w:t>as d’export par lot au-delà des résultats affichés sur la page en cours ; nombre de résultats affichés non paramétrable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i/>
          <w:i/>
          <w:sz w:val="18"/>
          <w:szCs w:val="18"/>
        </w:rPr>
      </w:pP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 xml:space="preserve">* Source : Delgado-Quirós, L., &amp; Ortega, J. L. (2024). Completeness degree of publication metadata in eight free-access scholarly databases. </w:t>
      </w:r>
      <w:r>
        <w:rPr>
          <w:rStyle w:val="Hyperlink"/>
          <w:i/>
          <w:iCs w:val="false"/>
          <w:color w:val="000000"/>
          <w:sz w:val="18"/>
          <w:szCs w:val="18"/>
          <w:u w:val="none"/>
        </w:rPr>
        <w:t>Quantitative Science Studies</w:t>
      </w: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 xml:space="preserve">, </w:t>
      </w:r>
      <w:r>
        <w:rPr>
          <w:rStyle w:val="Hyperlink"/>
          <w:i/>
          <w:iCs w:val="false"/>
          <w:color w:val="000000"/>
          <w:sz w:val="18"/>
          <w:szCs w:val="18"/>
          <w:u w:val="none"/>
        </w:rPr>
        <w:t>5</w:t>
      </w:r>
      <w:r>
        <w:rPr>
          <w:rStyle w:val="Hyperlink"/>
          <w:i w:val="false"/>
          <w:iCs w:val="false"/>
          <w:color w:val="000000"/>
          <w:sz w:val="18"/>
          <w:szCs w:val="18"/>
          <w:u w:val="none"/>
        </w:rPr>
        <w:t>(1), 31</w:t>
        <w:noBreakHyphen/>
        <w:t xml:space="preserve">49. </w:t>
      </w:r>
      <w:hyperlink r:id="rId11">
        <w:r>
          <w:rPr>
            <w:rStyle w:val="Hyperlink"/>
            <w:i w:val="false"/>
            <w:iCs w:val="false"/>
            <w:sz w:val="18"/>
            <w:szCs w:val="18"/>
          </w:rPr>
          <w:t>https://doi.org/10.1162/qss_a_00286</w:t>
        </w:r>
      </w:hyperlink>
    </w:p>
    <w:p>
      <w:pPr>
        <w:pStyle w:val="Normal"/>
        <w:spacing w:before="0" w:after="0"/>
        <w:ind w:hanging="0" w:left="0"/>
        <w:contextualSpacing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orient="landscape" w:w="16838" w:h="11906"/>
      <w:pgMar w:left="510" w:right="510" w:gutter="0" w:header="283" w:top="394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08585" distR="11176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11920"/>
                          <a:ext cx="37332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3320" y="511920"/>
                          <a:ext cx="9216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7120" y="511920"/>
                          <a:ext cx="4320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902040" y="511920"/>
                          <a:ext cx="10224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81600" y="511920"/>
                          <a:ext cx="9216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6480" y="511920"/>
                          <a:ext cx="4320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3520"/>
                          <a:ext cx="4176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1987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8680 w 4286520"/>
                            <a:gd name="textAreaTop" fmla="*/ 0 h 112680"/>
                            <a:gd name="textAreaBottom" fmla="*/ 114840 h 1126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720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8680 w 4286520"/>
                            <a:gd name="textAreaTop" fmla="*/ 0 h 55080"/>
                            <a:gd name="textAreaBottom" fmla="*/ 57240 h 5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10640" y="351720"/>
                          <a:ext cx="13442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3972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6;width:58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4;top:806;width:144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90;top:806;width:6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5;top:806;width:160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70;top:806;width:144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8;top:806;width:67;height:22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82;width:65;height:31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23;top:554;width:2116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4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3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3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ind w:hanging="0" w:left="11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2025-04-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2025-04-</w:t>
    </w:r>
    <w:r>
      <w:rPr>
        <w:rFonts w:eastAsia="Tahoma" w:cs="Tahoma" w:ascii="Tahoma" w:hAnsi="Tahoma"/>
        <w:color w:val="3B3838"/>
        <w:sz w:val="18"/>
      </w:rPr>
      <w:t>24</w: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user">
    <w:name w:val="Saut d'index (user)"/>
    <w:qFormat/>
    <w:rPr/>
  </w:style>
  <w:style w:type="character" w:styleId="Caractresdenotedefinuser">
    <w:name w:val="Caractères de note de fin (user)"/>
    <w:qFormat/>
    <w:rPr>
      <w:vertAlign w:val="superscript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i.org/10.1162/qss_a_00286" TargetMode="External"/><Relationship Id="rId9" Type="http://schemas.openxmlformats.org/officeDocument/2006/relationships/hyperlink" Target="https://help.openalex.org/hc/en-us/articles/28951241521047-Can-I-search-exact-terms" TargetMode="External"/><Relationship Id="rId10" Type="http://schemas.openxmlformats.org/officeDocument/2006/relationships/hyperlink" Target="https://plus.dimensions.ai/support/solutions/articles/23000025193-what-s-the-difference-between-dimensions-free-and-dimensions-analytics-" TargetMode="External"/><Relationship Id="rId11" Type="http://schemas.openxmlformats.org/officeDocument/2006/relationships/hyperlink" Target="https://doi.org/10.1162/qss_a_00286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LibreOffice/25.2.2.2$Windows_X86_64 LibreOffice_project/7370d4be9e3cf6031a51beef54ff3bda878e3fac</Application>
  <AppVersion>15.0000</AppVersion>
  <Pages>3</Pages>
  <Words>364</Words>
  <Characters>2076</Characters>
  <CharactersWithSpaces>2412</CharactersWithSpaces>
  <Paragraphs>42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2025-04-03T10:39:38Z</cp:lastPrinted>
  <dcterms:modified xsi:type="dcterms:W3CDTF">2025-04-24T11:22:43Z</dcterms:modified>
  <cp:revision>29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