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jpeg" ContentType="image/jpeg"/>
  <Override PartName="/word/media/image3.png" ContentType="image/png"/>
  <Override PartName="/word/media/image2.jpeg" ContentType="image/jpeg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4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0" w:after="360"/>
        <w:contextualSpacing/>
        <w:jc w:val="left"/>
        <w:rPr>
          <w:rFonts w:ascii="Tahoma" w:hAnsi="Tahoma" w:cs="Tahoma"/>
          <w:lang w:eastAsia="en-US"/>
        </w:rPr>
      </w:pPr>
      <w:r>
        <w:rPr>
          <w:rFonts w:cs="Tahoma" w:ascii="Tahoma" w:hAnsi="Tahoma"/>
          <w:lang w:eastAsia="en-US"/>
        </w:rPr>
        <w:t>Revues de littérature : focus bibliographique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18" w:right="1418" w:gutter="0" w:header="607" w:top="1520" w:footer="0" w:bottom="1701"/>
          <w:pgNumType w:fmt="decimal"/>
          <w:formProt w:val="false"/>
          <w:titlePg/>
          <w:textDirection w:val="lrTb"/>
          <w:docGrid w:type="default" w:linePitch="326" w:charSpace="0"/>
        </w:sectPr>
        <w:pStyle w:val="Normal"/>
        <w:spacing w:before="0" w:after="160"/>
        <w:contextualSpacing/>
        <w:jc w:val="left"/>
        <w:rPr>
          <w:rFonts w:eastAsia="Calibri" w:cs="" w:cstheme="minorBidi" w:eastAsiaTheme="minorHAnsi"/>
          <w:color w:val="auto"/>
          <w:szCs w:val="24"/>
          <w:lang w:eastAsia="en-US"/>
        </w:rPr>
      </w:pPr>
      <w:r>
        <w:rPr/>
      </w:r>
    </w:p>
    <w:p>
      <w:pPr>
        <w:pStyle w:val="Heading1"/>
        <w:rPr>
          <w:lang w:eastAsia="en-US"/>
        </w:rPr>
      </w:pPr>
      <w:bookmarkStart w:id="0" w:name="_Toc166661520"/>
      <w:r>
        <w:rPr>
          <w:lang w:eastAsia="en-US"/>
        </w:rPr>
        <w:t>Logiciels spécialisés pour les revues de littérature</w:t>
      </w:r>
      <w:bookmarkEnd w:id="0"/>
    </w:p>
    <w:p>
      <w:pPr>
        <w:pStyle w:val="Normal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>Dans le cadre d’une revue de littérature narrative ou systématisée, les fonctionnalités d’un logiciel de gestion bibliographique peuvent suffire pour supprimer les doublons, coder les articles, etc.</w:t>
      </w:r>
    </w:p>
    <w:p>
      <w:pPr>
        <w:pStyle w:val="Normal"/>
        <w:rPr>
          <w:rFonts w:eastAsia="Calibri" w:eastAsiaTheme="minorHAnsi"/>
          <w:lang w:eastAsia="en-US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posOffset>-43180</wp:posOffset>
            </wp:positionH>
            <wp:positionV relativeFrom="margin">
              <wp:posOffset>895985</wp:posOffset>
            </wp:positionV>
            <wp:extent cx="657225" cy="370205"/>
            <wp:effectExtent l="0" t="0" r="0" b="0"/>
            <wp:wrapSquare wrapText="bothSides"/>
            <wp:docPr id="13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524" t="0" r="0" b="23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7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Calibri" w:eastAsiaTheme="minorHAnsi"/>
          <w:lang w:eastAsia="en-US"/>
        </w:rPr>
        <w:t xml:space="preserve">Vous trouverez ci-dessous une brève sélection d’outils spécialisés pour les revues systématiques, du plus simple au plus sophistiqué. </w:t>
      </w:r>
      <w:hyperlink r:id="rId9" w:tgtFrame="_blank">
        <w:r>
          <w:rPr>
            <w:rStyle w:val="Hyperlink"/>
            <w:bCs/>
            <w:szCs w:val="24"/>
          </w:rPr>
          <w:t>Systematic Review Toolbox</w:t>
        </w:r>
      </w:hyperlink>
      <w:r>
        <w:rPr>
          <w:rFonts w:eastAsia="Calibri" w:eastAsiaTheme="minorHAnsi"/>
          <w:szCs w:val="24"/>
          <w:lang w:eastAsia="en-US"/>
        </w:rPr>
        <w:t xml:space="preserve"> </w:t>
      </w:r>
      <w:r>
        <w:rPr>
          <w:rFonts w:eastAsia="Calibri" w:eastAsiaTheme="minorHAnsi"/>
          <w:lang w:eastAsia="en-US"/>
        </w:rPr>
        <w:t>fournit un catalogue complet de tous les outils utilisables pour toutes les étapes d’une revue systématique.</w:t>
      </w:r>
    </w:p>
    <w:tbl>
      <w:tblPr>
        <w:tblStyle w:val="TableauGrille4-Accentuation1"/>
        <w:tblW w:w="14560" w:type="dxa"/>
        <w:jc w:val="left"/>
        <w:tblInd w:w="0" w:type="dxa"/>
        <w:tblLayout w:type="fixed"/>
        <w:tblCellMar>
          <w:top w:w="113" w:type="dxa"/>
          <w:left w:w="108" w:type="dxa"/>
          <w:bottom w:w="113" w:type="dxa"/>
          <w:right w:w="108" w:type="dxa"/>
        </w:tblCellMar>
        <w:tblLook w:firstRow="1" w:noVBand="1" w:lastRow="0" w:firstColumn="1" w:lastColumn="0" w:noHBand="0" w:val="04a0"/>
      </w:tblPr>
      <w:tblGrid>
        <w:gridCol w:w="1256"/>
        <w:gridCol w:w="6961"/>
        <w:gridCol w:w="634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center"/>
              <w:rPr>
                <w:rFonts w:eastAsia="Calibri" w:eastAsiaTheme="minorHAnsi"/>
                <w:sz w:val="20"/>
                <w:szCs w:val="20"/>
                <w:lang w:eastAsia="en-US"/>
              </w:rPr>
            </w:pP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20"/>
                <w:szCs w:val="20"/>
                <w:lang w:val="fr-FR" w:eastAsia="en-US" w:bidi="ar-SA"/>
              </w:rPr>
              <w:t>Nom</w:t>
            </w:r>
          </w:p>
        </w:tc>
        <w:tc>
          <w:tcPr>
            <w:tcW w:w="696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eastAsiaTheme="minorHAnsi"/>
                <w:sz w:val="20"/>
                <w:szCs w:val="20"/>
                <w:lang w:eastAsia="en-US"/>
              </w:rPr>
            </w:pP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20"/>
                <w:szCs w:val="20"/>
                <w:lang w:val="fr-FR" w:eastAsia="en-US" w:bidi="ar-SA"/>
              </w:rPr>
              <w:t>Caractéristiques</w:t>
            </w:r>
          </w:p>
        </w:tc>
        <w:tc>
          <w:tcPr>
            <w:tcW w:w="634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eastAsiaTheme="minorHAnsi"/>
                <w:sz w:val="20"/>
                <w:szCs w:val="20"/>
                <w:lang w:eastAsia="en-US"/>
              </w:rPr>
            </w:pP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20"/>
                <w:szCs w:val="20"/>
                <w:lang w:val="fr-FR" w:eastAsia="en-US" w:bidi="ar-SA"/>
              </w:rPr>
              <w:t>Coût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 w:val="false"/>
                <w:bCs w:val="false"/>
                <w:color w:val="auto"/>
                <w:sz w:val="20"/>
                <w:szCs w:val="20"/>
              </w:rPr>
            </w:pPr>
            <w:hyperlink r:id="rId10">
              <w:r>
                <w:rPr>
                  <w:rStyle w:val="Hyperlink"/>
                  <w:b w:val="false"/>
                  <w:bCs w:val="false"/>
                  <w:kern w:val="0"/>
                  <w:sz w:val="20"/>
                  <w:szCs w:val="20"/>
                  <w:lang w:val="fr-FR" w:eastAsia="fr-FR" w:bidi="ar-SA"/>
                </w:rPr>
                <w:t>Rayyan</w:t>
              </w:r>
            </w:hyperlink>
          </w:p>
        </w:tc>
        <w:tc>
          <w:tcPr>
            <w:tcW w:w="696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suppressAutoHyphens w:val="true"/>
              <w:spacing w:before="0" w:after="0"/>
              <w:ind w:hanging="0" w:left="29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spacing w:val="4"/>
                <w:kern w:val="0"/>
                <w:sz w:val="20"/>
                <w:szCs w:val="20"/>
                <w:lang w:val="fr-FR" w:eastAsia="fr-FR" w:bidi="ar-SA"/>
              </w:rPr>
              <w:t>Version gratuite limitée aux fonctionnalités d’examen et de codage des études</w:t>
            </w:r>
          </w:p>
        </w:tc>
        <w:tc>
          <w:tcPr>
            <w:tcW w:w="634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decimal" w:pos="432" w:leader="none"/>
              </w:tabs>
              <w:suppressAutoHyphens w:val="true"/>
              <w:spacing w:before="0" w:after="0"/>
              <w:ind w:hanging="284" w:left="389" w:right="14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4"/>
                <w:sz w:val="20"/>
                <w:szCs w:val="20"/>
              </w:rPr>
            </w:pPr>
            <w:r>
              <w:rPr>
                <w:b/>
                <w:spacing w:val="4"/>
                <w:kern w:val="0"/>
                <w:sz w:val="20"/>
                <w:szCs w:val="20"/>
                <w:lang w:val="fr-FR" w:eastAsia="fr-FR" w:bidi="ar-SA"/>
              </w:rPr>
              <w:t>Gratuit dans la limite de 3 revues actives et des fonctionnalités de base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decimal" w:pos="432" w:leader="none"/>
              </w:tabs>
              <w:suppressAutoHyphens w:val="true"/>
              <w:spacing w:before="0" w:after="0"/>
              <w:ind w:hanging="284" w:left="389" w:right="14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"/>
                <w:sz w:val="20"/>
                <w:szCs w:val="20"/>
              </w:rPr>
            </w:pPr>
            <w:r>
              <w:rPr>
                <w:spacing w:val="4"/>
                <w:kern w:val="0"/>
                <w:sz w:val="20"/>
                <w:szCs w:val="20"/>
                <w:lang w:val="fr-FR" w:eastAsia="fr-FR" w:bidi="ar-SA"/>
              </w:rPr>
              <w:t>Abonnement institutionnel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decimal" w:pos="432" w:leader="none"/>
              </w:tabs>
              <w:suppressAutoHyphens w:val="true"/>
              <w:spacing w:before="0" w:after="0"/>
              <w:ind w:hanging="284" w:left="389" w:right="14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"/>
                <w:sz w:val="20"/>
                <w:szCs w:val="20"/>
              </w:rPr>
            </w:pPr>
            <w:r>
              <w:rPr>
                <w:spacing w:val="4"/>
                <w:kern w:val="0"/>
                <w:sz w:val="20"/>
                <w:szCs w:val="20"/>
                <w:lang w:val="fr-FR" w:eastAsia="fr-FR" w:bidi="ar-SA"/>
              </w:rPr>
              <w:t xml:space="preserve">Abonnement individuel annuel à partir de : </w:t>
            </w:r>
            <w:r>
              <w:rPr>
                <w:b/>
                <w:spacing w:val="4"/>
                <w:kern w:val="0"/>
                <w:sz w:val="20"/>
                <w:szCs w:val="20"/>
                <w:lang w:val="fr-FR" w:eastAsia="fr-FR" w:bidi="ar-SA"/>
              </w:rPr>
              <w:t>$59.99 (</w:t>
            </w:r>
            <w:r>
              <w:rPr>
                <w:spacing w:val="4"/>
                <w:kern w:val="0"/>
                <w:sz w:val="20"/>
                <w:szCs w:val="20"/>
                <w:lang w:val="fr-FR" w:eastAsia="fr-FR" w:bidi="ar-SA"/>
              </w:rPr>
              <w:t>tarif étudiant pour 3 revues actives, avec des fonctionnalités limitées)</w:t>
            </w:r>
          </w:p>
        </w:tc>
      </w:tr>
      <w:tr>
        <w:trPr/>
        <w:tc>
          <w:tcPr>
            <w:tcW w:w="12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/>
                <w:bCs/>
                <w:kern w:val="0"/>
                <w:szCs w:val="22"/>
                <w:lang w:val="fr-FR" w:eastAsia="fr-FR" w:bidi="ar-SA"/>
              </w:rPr>
            </w:pPr>
            <w:hyperlink r:id="rId11">
              <w:r>
                <w:rPr>
                  <w:rStyle w:val="Hyperlink"/>
                  <w:b w:val="false"/>
                  <w:bCs w:val="false"/>
                  <w:kern w:val="0"/>
                  <w:sz w:val="20"/>
                  <w:szCs w:val="20"/>
                  <w:lang w:val="fr-FR" w:eastAsia="fr-FR" w:bidi="ar-SA"/>
                </w:rPr>
                <w:t>PICO Portal</w:t>
              </w:r>
            </w:hyperlink>
          </w:p>
        </w:tc>
        <w:tc>
          <w:tcPr>
            <w:tcW w:w="6961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before="0" w:after="0"/>
              <w:ind w:hanging="0" w:left="29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>Diverses fonctionnalités telles que la recherche de PDF en libre accès, en plus des fonctionnalités de tri et d’analyse des études</w:t>
            </w:r>
          </w:p>
        </w:tc>
        <w:tc>
          <w:tcPr>
            <w:tcW w:w="6343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decimal" w:pos="432" w:leader="none"/>
              </w:tabs>
              <w:suppressAutoHyphens w:val="true"/>
              <w:spacing w:before="0" w:after="0"/>
              <w:ind w:hanging="284" w:left="389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kern w:val="0"/>
                <w:sz w:val="20"/>
                <w:szCs w:val="20"/>
                <w:lang w:val="fr-FR" w:eastAsia="fr-FR" w:bidi="ar-SA"/>
              </w:rPr>
              <w:t>Gratuit pour 1 projet, avec des fonctionnalités limitées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decimal" w:pos="432" w:leader="none"/>
              </w:tabs>
              <w:suppressAutoHyphens w:val="true"/>
              <w:spacing w:before="0" w:after="0"/>
              <w:ind w:hanging="284" w:left="389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>Abonnement institutionnel et par équipe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color w:val="auto"/>
                <w:sz w:val="20"/>
                <w:szCs w:val="20"/>
              </w:rPr>
            </w:pPr>
            <w:hyperlink r:id="rId12">
              <w:r>
                <w:rPr>
                  <w:rStyle w:val="Hyperlink"/>
                  <w:b w:val="false"/>
                  <w:bCs w:val="false"/>
                  <w:kern w:val="0"/>
                  <w:sz w:val="20"/>
                  <w:szCs w:val="20"/>
                  <w:lang w:val="fr-FR" w:eastAsia="fr-FR" w:bidi="ar-SA"/>
                </w:rPr>
                <w:t>Covidence</w:t>
              </w:r>
            </w:hyperlink>
          </w:p>
        </w:tc>
        <w:tc>
          <w:tcPr>
            <w:tcW w:w="696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suppressAutoHyphens w:val="true"/>
              <w:spacing w:before="0" w:after="0"/>
              <w:ind w:hanging="0" w:left="29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>Prise en charge de l'examen des résumés et du texte intégral, de la complétion de tableaux de risques de biais et de l'extraction des données</w:t>
            </w:r>
          </w:p>
        </w:tc>
        <w:tc>
          <w:tcPr>
            <w:tcW w:w="634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decimal" w:pos="432" w:leader="none"/>
              </w:tabs>
              <w:suppressAutoHyphens w:val="true"/>
              <w:spacing w:before="0" w:after="0"/>
              <w:ind w:hanging="284" w:left="389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kern w:val="0"/>
                <w:sz w:val="20"/>
                <w:szCs w:val="20"/>
                <w:lang w:val="fr-FR" w:eastAsia="fr-FR" w:bidi="ar-SA"/>
              </w:rPr>
              <w:t>Version d’essai gratuite pour 1 revue de 500 références au maximum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decimal" w:pos="432" w:leader="none"/>
              </w:tabs>
              <w:suppressAutoHyphens w:val="true"/>
              <w:spacing w:before="0" w:after="0"/>
              <w:ind w:hanging="284" w:left="389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>Abonnement institutionnel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decimal" w:pos="432" w:leader="none"/>
              </w:tabs>
              <w:suppressAutoHyphens w:val="true"/>
              <w:spacing w:before="0" w:after="0"/>
              <w:ind w:hanging="284" w:left="389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 xml:space="preserve">Abonnement individuel annuel à partir de : </w:t>
            </w:r>
            <w:r>
              <w:rPr>
                <w:b/>
                <w:spacing w:val="4"/>
                <w:kern w:val="0"/>
                <w:sz w:val="20"/>
                <w:szCs w:val="20"/>
                <w:lang w:val="fr-FR" w:eastAsia="fr-FR" w:bidi="ar-SA"/>
              </w:rPr>
              <w:t>$289</w:t>
            </w:r>
            <w:r>
              <w:rPr>
                <w:spacing w:val="4"/>
                <w:kern w:val="0"/>
                <w:sz w:val="20"/>
                <w:szCs w:val="20"/>
                <w:lang w:val="fr-FR" w:eastAsia="fr-FR" w:bidi="ar-SA"/>
              </w:rPr>
              <w:t xml:space="preserve">  (pour 1 revue)</w:t>
            </w:r>
          </w:p>
        </w:tc>
      </w:tr>
      <w:tr>
        <w:trPr/>
        <w:tc>
          <w:tcPr>
            <w:tcW w:w="12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/>
                <w:bCs/>
              </w:rPr>
            </w:pPr>
            <w:hyperlink r:id="rId13">
              <w:r>
                <w:rPr>
                  <w:rStyle w:val="Hyperlink"/>
                  <w:b w:val="false"/>
                  <w:bCs w:val="false"/>
                  <w:color w:themeColor="hyperlink" w:val="auto"/>
                  <w:kern w:val="0"/>
                  <w:sz w:val="20"/>
                  <w:szCs w:val="20"/>
                  <w:lang w:val="fr-FR" w:eastAsia="fr-FR" w:bidi="ar-SA"/>
                </w:rPr>
                <w:t>RevMan</w:t>
              </w:r>
            </w:hyperlink>
          </w:p>
        </w:tc>
        <w:tc>
          <w:tcPr>
            <w:tcW w:w="6961" w:type="dxa"/>
            <w:tcBorders/>
            <w:vAlign w:val="center"/>
          </w:tcPr>
          <w:p>
            <w:pPr>
              <w:pStyle w:val="Commentaire"/>
              <w:widowControl/>
              <w:numPr>
                <w:ilvl w:val="0"/>
                <w:numId w:val="3"/>
              </w:numPr>
              <w:suppressAutoHyphens w:val="true"/>
              <w:spacing w:lineRule="auto" w:line="240" w:before="56" w:after="0"/>
              <w:ind w:hanging="170" w:left="340" w:right="56"/>
              <w:jc w:val="left"/>
              <w:rPr>
                <w:rFonts w:ascii="Corbel" w:hAnsi="Corbel" w:eastAsia="" w:cs="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" w:cs="" w:ascii="Corbel" w:hAnsi="Corbel"/>
                <w:kern w:val="0"/>
                <w:sz w:val="20"/>
                <w:szCs w:val="20"/>
                <w:lang w:val="fr-FR" w:eastAsia="fr-FR" w:bidi="ar-SA"/>
              </w:rPr>
              <w:t>Développé par Cochrane</w:t>
            </w:r>
          </w:p>
          <w:p>
            <w:pPr>
              <w:pStyle w:val="Commentaire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170" w:left="340" w:right="56"/>
              <w:jc w:val="left"/>
              <w:rPr>
                <w:rFonts w:ascii="Corbel" w:hAnsi="Corbel" w:eastAsia="" w:cs="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" w:cs="" w:ascii="Corbel" w:hAnsi="Corbel"/>
                <w:kern w:val="0"/>
                <w:sz w:val="20"/>
                <w:szCs w:val="20"/>
                <w:lang w:val="fr-FR" w:eastAsia="fr-FR" w:bidi="ar-SA"/>
              </w:rPr>
              <w:t>Prise en charge intégrée de toutes les étapes, y compris les méta-analyses et la rédaction du protocole et de la revue</w:t>
            </w:r>
          </w:p>
        </w:tc>
        <w:tc>
          <w:tcPr>
            <w:tcW w:w="6343" w:type="dxa"/>
            <w:tcBorders/>
            <w:vAlign w:val="center"/>
          </w:tcPr>
          <w:p>
            <w:pPr>
              <w:pStyle w:val="Commentaire"/>
              <w:widowControl/>
              <w:numPr>
                <w:ilvl w:val="0"/>
                <w:numId w:val="3"/>
              </w:numPr>
              <w:suppressAutoHyphens w:val="true"/>
              <w:spacing w:lineRule="auto" w:line="240" w:before="56" w:after="0"/>
              <w:ind w:hanging="170" w:left="340" w:right="56"/>
              <w:jc w:val="left"/>
              <w:rPr>
                <w:rFonts w:ascii="Corbel" w:hAnsi="Corbel" w:eastAsia="" w:cs="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" w:cs="" w:ascii="Corbel" w:hAnsi="Corbel"/>
                <w:kern w:val="0"/>
                <w:sz w:val="20"/>
                <w:szCs w:val="20"/>
                <w:lang w:val="fr-FR" w:eastAsia="fr-FR" w:bidi="ar-SA"/>
              </w:rPr>
              <w:t>Gratuit pour les revues Cochrane</w:t>
            </w:r>
          </w:p>
          <w:p>
            <w:pPr>
              <w:pStyle w:val="Commentaire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170" w:left="340" w:right="56"/>
              <w:jc w:val="left"/>
              <w:rPr>
                <w:rFonts w:ascii="Corbel" w:hAnsi="Corbel" w:eastAsia="" w:cs="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" w:cs="" w:ascii="Corbel" w:hAnsi="Corbel"/>
                <w:kern w:val="0"/>
                <w:sz w:val="20"/>
                <w:szCs w:val="20"/>
                <w:lang w:val="fr-FR" w:eastAsia="fr-FR" w:bidi="ar-SA"/>
              </w:rPr>
              <w:t>Abonnement institutionnel</w:t>
            </w:r>
          </w:p>
          <w:p>
            <w:pPr>
              <w:pStyle w:val="Commentaire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170" w:left="340" w:right="56"/>
              <w:jc w:val="left"/>
              <w:rPr>
                <w:rFonts w:ascii="Corbel" w:hAnsi="Corbel" w:eastAsia="" w:cs="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" w:cs="" w:ascii="Corbel" w:hAnsi="Corbel"/>
                <w:spacing w:val="11"/>
                <w:kern w:val="0"/>
                <w:sz w:val="20"/>
                <w:szCs w:val="20"/>
                <w:lang w:val="fr-FR" w:eastAsia="fr-FR" w:bidi="ar-SA"/>
              </w:rPr>
              <w:t xml:space="preserve">Abonnement individuel annuel à partir de : </w:t>
            </w:r>
            <w:r>
              <w:rPr>
                <w:rFonts w:eastAsia="" w:cs="" w:ascii="Corbel" w:hAnsi="Corbel"/>
                <w:b/>
                <w:spacing w:val="4"/>
                <w:kern w:val="0"/>
                <w:sz w:val="20"/>
                <w:szCs w:val="20"/>
                <w:lang w:val="fr-FR" w:eastAsia="fr-FR" w:bidi="ar-SA"/>
              </w:rPr>
              <w:t>£7</w:t>
            </w:r>
            <w:r>
              <w:rPr>
                <w:rFonts w:eastAsia="" w:cs="" w:ascii="Corbel" w:hAnsi="Corbel"/>
                <w:b/>
                <w:spacing w:val="4"/>
                <w:kern w:val="0"/>
                <w:sz w:val="20"/>
                <w:szCs w:val="20"/>
                <w:lang w:val="fr-FR" w:eastAsia="fr-FR" w:bidi="ar-SA"/>
              </w:rPr>
              <w:t>5</w:t>
            </w:r>
            <w:r>
              <w:rPr>
                <w:rFonts w:eastAsia="" w:cs="" w:ascii="Corbel" w:hAnsi="Corbel"/>
                <w:b/>
                <w:spacing w:val="4"/>
                <w:kern w:val="0"/>
                <w:sz w:val="20"/>
                <w:szCs w:val="20"/>
                <w:lang w:val="fr-FR" w:eastAsia="fr-FR" w:bidi="ar-SA"/>
              </w:rPr>
              <w:t xml:space="preserve"> (</w:t>
            </w:r>
            <w:r>
              <w:rPr>
                <w:rFonts w:eastAsia="" w:cs="" w:ascii="Corbel" w:hAnsi="Corbel"/>
                <w:spacing w:val="4"/>
                <w:kern w:val="0"/>
                <w:sz w:val="20"/>
                <w:szCs w:val="20"/>
                <w:lang w:val="fr-FR" w:eastAsia="fr-FR" w:bidi="ar-SA"/>
              </w:rPr>
              <w:t>tarif étudiant)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 w:val="false"/>
                <w:bCs w:val="false"/>
                <w:color w:val="auto"/>
                <w:sz w:val="20"/>
                <w:szCs w:val="20"/>
              </w:rPr>
            </w:pPr>
            <w:hyperlink r:id="rId14">
              <w:r>
                <w:rPr>
                  <w:rStyle w:val="Hyperlink"/>
                  <w:b w:val="false"/>
                  <w:bCs w:val="false"/>
                  <w:kern w:val="0"/>
                  <w:sz w:val="20"/>
                  <w:szCs w:val="20"/>
                  <w:lang w:val="fr-FR" w:eastAsia="fr-FR" w:bidi="ar-SA"/>
                </w:rPr>
                <w:t>JBI SUMARI</w:t>
              </w:r>
            </w:hyperlink>
          </w:p>
        </w:tc>
        <w:tc>
          <w:tcPr>
            <w:tcW w:w="696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Commentaire"/>
              <w:widowControl/>
              <w:numPr>
                <w:ilvl w:val="0"/>
                <w:numId w:val="3"/>
              </w:numPr>
              <w:suppressAutoHyphens w:val="true"/>
              <w:spacing w:lineRule="auto" w:line="240" w:before="56" w:after="0"/>
              <w:ind w:hanging="170" w:left="340" w:right="56"/>
              <w:jc w:val="left"/>
              <w:rPr>
                <w:rFonts w:ascii="Corbel" w:hAnsi="Corbel" w:eastAsia="" w:cs="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" w:cs="" w:ascii="Corbel" w:hAnsi="Corbel"/>
                <w:kern w:val="0"/>
                <w:sz w:val="20"/>
                <w:szCs w:val="20"/>
                <w:lang w:val="fr-FR" w:eastAsia="fr-FR" w:bidi="ar-SA"/>
              </w:rPr>
              <w:t>Prise en charge intégrée de toutes les étapes pour 10 types de revue</w:t>
            </w:r>
          </w:p>
          <w:p>
            <w:pPr>
              <w:pStyle w:val="Commentaire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170" w:left="340" w:right="56"/>
              <w:jc w:val="left"/>
              <w:rPr>
                <w:rFonts w:ascii="Corbel" w:hAnsi="Corbel" w:eastAsia="" w:cs="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" w:cs="" w:ascii="Corbel" w:hAnsi="Corbel"/>
                <w:kern w:val="0"/>
                <w:sz w:val="20"/>
                <w:szCs w:val="20"/>
                <w:lang w:val="fr-FR" w:eastAsia="fr-FR" w:bidi="ar-SA"/>
              </w:rPr>
              <w:t>Plus spécifiquement utile pour les nouveaux types de revue et les revues qualitatives</w:t>
            </w:r>
          </w:p>
        </w:tc>
        <w:tc>
          <w:tcPr>
            <w:tcW w:w="634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Commentaire"/>
              <w:widowControl/>
              <w:numPr>
                <w:ilvl w:val="0"/>
                <w:numId w:val="3"/>
              </w:numPr>
              <w:suppressAutoHyphens w:val="true"/>
              <w:spacing w:lineRule="auto" w:line="240" w:before="56" w:after="0"/>
              <w:ind w:hanging="170" w:left="340" w:right="56"/>
              <w:jc w:val="left"/>
              <w:rPr>
                <w:rFonts w:ascii="Corbel" w:hAnsi="Corbel" w:eastAsia="" w:cs="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" w:cs="" w:ascii="Corbel" w:hAnsi="Corbel"/>
                <w:kern w:val="0"/>
                <w:sz w:val="20"/>
                <w:szCs w:val="20"/>
                <w:lang w:val="fr-FR" w:eastAsia="fr-FR" w:bidi="ar-SA"/>
              </w:rPr>
              <w:t>Essai gratuit de 14 jours</w:t>
            </w:r>
          </w:p>
          <w:p>
            <w:pPr>
              <w:pStyle w:val="Commentaire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170" w:left="340" w:right="56"/>
              <w:jc w:val="left"/>
              <w:rPr>
                <w:rFonts w:ascii="Corbel" w:hAnsi="Corbel" w:eastAsia="" w:cs="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" w:cs="" w:ascii="Corbel" w:hAnsi="Corbel"/>
                <w:kern w:val="0"/>
                <w:sz w:val="20"/>
                <w:szCs w:val="20"/>
                <w:lang w:val="fr-FR" w:eastAsia="fr-FR" w:bidi="ar-SA"/>
              </w:rPr>
              <w:t>Abonnement institutionnel</w:t>
            </w:r>
          </w:p>
          <w:p>
            <w:pPr>
              <w:pStyle w:val="Commentaire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170" w:left="340" w:right="56"/>
              <w:jc w:val="left"/>
              <w:rPr>
                <w:rFonts w:ascii="Corbel" w:hAnsi="Corbel" w:eastAsia="" w:cs="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" w:cs="" w:ascii="Corbel" w:hAnsi="Corbel"/>
                <w:spacing w:val="11"/>
                <w:kern w:val="0"/>
                <w:sz w:val="20"/>
                <w:szCs w:val="20"/>
                <w:lang w:val="fr-FR" w:eastAsia="fr-FR" w:bidi="ar-SA"/>
              </w:rPr>
              <w:t xml:space="preserve">Abonnement individuel annuel à partir de : </w:t>
            </w:r>
            <w:r>
              <w:rPr>
                <w:rFonts w:eastAsia="" w:cs="" w:ascii="Corbel" w:hAnsi="Corbel"/>
                <w:b/>
                <w:spacing w:val="4"/>
                <w:kern w:val="0"/>
                <w:sz w:val="20"/>
                <w:szCs w:val="20"/>
                <w:lang w:val="fr-FR" w:eastAsia="fr-FR" w:bidi="ar-SA"/>
              </w:rPr>
              <w:t>$130</w:t>
            </w:r>
          </w:p>
        </w:tc>
      </w:tr>
      <w:tr>
        <w:trPr/>
        <w:tc>
          <w:tcPr>
            <w:tcW w:w="12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 w:val="false"/>
                <w:bCs w:val="false"/>
                <w:color w:val="auto"/>
                <w:sz w:val="20"/>
                <w:szCs w:val="20"/>
              </w:rPr>
            </w:pPr>
            <w:hyperlink r:id="rId15">
              <w:r>
                <w:rPr>
                  <w:rStyle w:val="Hyperlink"/>
                  <w:b w:val="false"/>
                  <w:bCs w:val="false"/>
                  <w:kern w:val="0"/>
                  <w:sz w:val="20"/>
                  <w:szCs w:val="20"/>
                  <w:lang w:val="fr-FR" w:eastAsia="fr-FR" w:bidi="ar-SA"/>
                </w:rPr>
                <w:t>DistillerSR</w:t>
              </w:r>
            </w:hyperlink>
          </w:p>
        </w:tc>
        <w:tc>
          <w:tcPr>
            <w:tcW w:w="6961" w:type="dxa"/>
            <w:tcBorders/>
            <w:vAlign w:val="center"/>
          </w:tcPr>
          <w:p>
            <w:pPr>
              <w:pStyle w:val="Commentaire"/>
              <w:widowControl/>
              <w:numPr>
                <w:ilvl w:val="0"/>
                <w:numId w:val="3"/>
              </w:numPr>
              <w:suppressAutoHyphens w:val="true"/>
              <w:spacing w:lineRule="auto" w:line="240" w:before="56" w:after="0"/>
              <w:ind w:hanging="170" w:left="340" w:right="56"/>
              <w:jc w:val="left"/>
              <w:rPr>
                <w:rFonts w:ascii="Corbel" w:hAnsi="Corbel" w:eastAsia="" w:cs="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" w:cs="" w:ascii="Corbel" w:hAnsi="Corbel"/>
                <w:kern w:val="0"/>
                <w:sz w:val="20"/>
                <w:szCs w:val="20"/>
                <w:lang w:val="fr-FR" w:eastAsia="fr-FR" w:bidi="ar-SA"/>
              </w:rPr>
              <w:t>Prise en charge de services complémentaires tels que la fourniture de documents en texte intégral</w:t>
            </w:r>
          </w:p>
          <w:p>
            <w:pPr>
              <w:pStyle w:val="Commentaire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170" w:left="340" w:right="56"/>
              <w:jc w:val="left"/>
              <w:rPr>
                <w:rFonts w:ascii="Corbel" w:hAnsi="Corbel" w:eastAsia="" w:cs="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" w:cs="" w:ascii="Corbel" w:hAnsi="Corbel"/>
                <w:kern w:val="0"/>
                <w:sz w:val="20"/>
                <w:szCs w:val="20"/>
                <w:lang w:val="fr-FR" w:eastAsia="fr-FR" w:bidi="ar-SA"/>
              </w:rPr>
              <w:t>Modules complémentaires pour catégoriser automatiquement les références ou mettre à jour une revue par l’import automatique de nouvelles références</w:t>
            </w:r>
          </w:p>
        </w:tc>
        <w:tc>
          <w:tcPr>
            <w:tcW w:w="6343" w:type="dxa"/>
            <w:tcBorders/>
            <w:vAlign w:val="center"/>
          </w:tcPr>
          <w:p>
            <w:pPr>
              <w:pStyle w:val="Commentaire"/>
              <w:widowControl/>
              <w:numPr>
                <w:ilvl w:val="0"/>
                <w:numId w:val="3"/>
              </w:numPr>
              <w:suppressAutoHyphens w:val="true"/>
              <w:spacing w:lineRule="auto" w:line="240" w:before="56" w:after="0"/>
              <w:ind w:hanging="170" w:left="340" w:right="56"/>
              <w:jc w:val="left"/>
              <w:rPr>
                <w:rFonts w:ascii="Corbel" w:hAnsi="Corbel" w:eastAsia="" w:cs="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" w:cs="" w:ascii="Corbel" w:hAnsi="Corbel"/>
                <w:kern w:val="0"/>
                <w:sz w:val="20"/>
                <w:szCs w:val="20"/>
                <w:lang w:val="fr-FR" w:eastAsia="fr-FR" w:bidi="ar-SA"/>
              </w:rPr>
              <w:t>Abonnement institutionnel</w:t>
            </w:r>
          </w:p>
          <w:p>
            <w:pPr>
              <w:pStyle w:val="Commentaire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170" w:left="340" w:right="56"/>
              <w:jc w:val="left"/>
              <w:rPr>
                <w:rFonts w:ascii="Corbel" w:hAnsi="Corbel" w:eastAsia="" w:cs="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" w:cs="" w:ascii="Corbel" w:hAnsi="Corbel"/>
                <w:spacing w:val="11"/>
                <w:kern w:val="0"/>
                <w:sz w:val="20"/>
                <w:szCs w:val="20"/>
                <w:lang w:val="fr-FR" w:eastAsia="fr-FR" w:bidi="ar-SA"/>
              </w:rPr>
              <w:t xml:space="preserve">Abonnement individuel annuel à partir de : </w:t>
            </w:r>
            <w:r>
              <w:rPr>
                <w:rFonts w:eastAsia="" w:cs="" w:ascii="Corbel" w:hAnsi="Corbel"/>
                <w:b/>
                <w:spacing w:val="4"/>
                <w:kern w:val="0"/>
                <w:sz w:val="20"/>
                <w:szCs w:val="20"/>
                <w:lang w:val="fr-FR" w:eastAsia="fr-FR" w:bidi="ar-SA"/>
              </w:rPr>
              <w:t>$240</w:t>
            </w:r>
            <w:r>
              <w:rPr>
                <w:rFonts w:eastAsia="" w:cs="" w:ascii="Corbel" w:hAnsi="Corbel"/>
                <w:spacing w:val="4"/>
                <w:kern w:val="0"/>
                <w:sz w:val="20"/>
                <w:szCs w:val="20"/>
                <w:lang w:val="fr-FR" w:eastAsia="fr-FR" w:bidi="ar-SA"/>
              </w:rPr>
              <w:t xml:space="preserve"> (tarif pour 3 comptes étudiants, avec des fonctionnalités limitées)</w:t>
            </w:r>
            <w:bookmarkStart w:id="1" w:name="_Toc64634427"/>
            <w:bookmarkEnd w:id="1"/>
          </w:p>
        </w:tc>
      </w:tr>
    </w:tbl>
    <w:p>
      <w:pPr>
        <w:pStyle w:val="Normal"/>
        <w:spacing w:before="0" w:after="160"/>
        <w:ind w:hanging="0" w:left="0"/>
        <w:jc w:val="left"/>
        <w:rPr>
          <w:rFonts w:eastAsia="Calibri" w:cs="" w:cstheme="minorBidi" w:eastAsiaTheme="minorHAnsi"/>
          <w:color w:val="auto"/>
          <w:sz w:val="22"/>
          <w:lang w:eastAsia="en-US"/>
        </w:rPr>
      </w:pPr>
      <w:r>
        <w:rPr>
          <w:rFonts w:eastAsia="Calibri" w:cs="" w:cstheme="minorBidi" w:eastAsiaTheme="minorHAnsi"/>
          <w:color w:val="auto"/>
          <w:sz w:val="22"/>
          <w:lang w:eastAsia="en-US"/>
        </w:rPr>
      </w:r>
    </w:p>
    <w:sectPr>
      <w:headerReference w:type="default" r:id="rId16"/>
      <w:headerReference w:type="first" r:id="rId17"/>
      <w:footerReference w:type="default" r:id="rId18"/>
      <w:footerReference w:type="first" r:id="rId19"/>
      <w:type w:val="nextPage"/>
      <w:pgSz w:orient="landscape" w:w="16838" w:h="11906"/>
      <w:pgMar w:left="1134" w:right="1134" w:gutter="0" w:header="607" w:top="1021" w:footer="340" w:bottom="68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rbel">
    <w:charset w:val="00"/>
    <w:family w:val="swiss"/>
    <w:pitch w:val="variable"/>
  </w:font>
  <w:font w:name="Tahoma">
    <w:charset w:val="00"/>
    <w:family w:val="swiss"/>
    <w:pitch w:val="variable"/>
  </w:font>
  <w:font w:name="Calibri Light">
    <w:charset w:val="00"/>
    <w:family w:val="roman"/>
    <w:pitch w:val="variable"/>
  </w:font>
  <w:font w:name="Segoe UI">
    <w:charset w:val="00"/>
    <w:family w:val="swiss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orbe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-1419" w:right="10492"/>
      <w:jc w:val="left"/>
      <w:rPr/>
    </w:pPr>
    <w:r>
      <w:rPr/>
      <mc:AlternateContent>
        <mc:Choice Requires="wpg">
          <w:drawing>
            <wp:anchor behindDoc="1" distT="0" distB="0" distL="111760" distR="113665" simplePos="0" locked="0" layoutInCell="0" allowOverlap="1" relativeHeight="2" wp14:anchorId="097864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957580"/>
              <wp:effectExtent l="0" t="0" r="0" b="0"/>
              <wp:wrapSquare wrapText="bothSides"/>
              <wp:docPr id="1" name="Group 569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080" cy="957600"/>
                        <a:chOff x="0" y="0"/>
                        <a:chExt cx="7561080" cy="957600"/>
                      </a:xfrm>
                    </wpg:grpSpPr>
                    <wps:wsp>
                      <wps:cNvPr id="2" name="Rectangle 5702"/>
                      <wps:cNvSpPr/>
                      <wps:spPr>
                        <a:xfrm>
                          <a:off x="3509640" y="509400"/>
                          <a:ext cx="3733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" name="Rectangle 5703"/>
                      <wps:cNvSpPr/>
                      <wps:spPr>
                        <a:xfrm>
                          <a:off x="3790800" y="509400"/>
                          <a:ext cx="946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PAGE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4" name="Rectangle 5704"/>
                      <wps:cNvSpPr/>
                      <wps:spPr>
                        <a:xfrm>
                          <a:off x="3864600" y="509400"/>
                          <a:ext cx="457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5" name="Rectangle 5705"/>
                      <wps:cNvSpPr/>
                      <wps:spPr>
                        <a:xfrm>
                          <a:off x="3899520" y="509400"/>
                          <a:ext cx="1047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/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6" name="Rectangle 5706"/>
                      <wps:cNvSpPr/>
                      <wps:spPr>
                        <a:xfrm>
                          <a:off x="3979080" y="509400"/>
                          <a:ext cx="946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NUMPAGES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7" name="Rectangle 5707"/>
                      <wps:cNvSpPr/>
                      <wps:spPr>
                        <a:xfrm>
                          <a:off x="4053960" y="509400"/>
                          <a:ext cx="457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8" name="Rectangle 5708"/>
                      <wps:cNvSpPr/>
                      <wps:spPr>
                        <a:xfrm>
                          <a:off x="901080" y="621000"/>
                          <a:ext cx="44280" cy="20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9" name="Shape 5698"/>
                      <wps:cNvSpPr/>
                      <wps:spPr>
                        <a:xfrm>
                          <a:off x="0" y="0"/>
                          <a:ext cx="7561080" cy="201240"/>
                        </a:xfrm>
                        <a:custGeom>
                          <a:avLst/>
                          <a:gdLst>
                            <a:gd name="textAreaLeft" fmla="*/ 0 w 4286520"/>
                            <a:gd name="textAreaRight" fmla="*/ 4287240 w 4286520"/>
                            <a:gd name="textAreaTop" fmla="*/ 0 h 114120"/>
                            <a:gd name="textAreaBottom" fmla="*/ 114840 h 114120"/>
                          </a:gdLst>
                          <a:ahLst/>
                          <a:rect l="textAreaLeft" t="textAreaTop" r="textAreaRight" b="textAreaBottom"/>
                          <a:pathLst>
                            <a:path w="7560564" h="202933">
                              <a:moveTo>
                                <a:pt x="0" y="0"/>
                              </a:moveTo>
                              <a:lnTo>
                                <a:pt x="7560564" y="185377"/>
                              </a:lnTo>
                              <a:lnTo>
                                <a:pt x="7560564" y="202933"/>
                              </a:lnTo>
                              <a:lnTo>
                                <a:pt x="0" y="2029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3a3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0" name="Shape 5699"/>
                      <wps:cNvSpPr/>
                      <wps:spPr>
                        <a:xfrm>
                          <a:off x="0" y="114480"/>
                          <a:ext cx="7561080" cy="99720"/>
                        </a:xfrm>
                        <a:custGeom>
                          <a:avLst/>
                          <a:gdLst>
                            <a:gd name="textAreaLeft" fmla="*/ 0 w 4286520"/>
                            <a:gd name="textAreaRight" fmla="*/ 4287240 w 4286520"/>
                            <a:gd name="textAreaTop" fmla="*/ 0 h 56520"/>
                            <a:gd name="textAreaBottom" fmla="*/ 57240 h 56520"/>
                          </a:gdLst>
                          <a:ahLst/>
                          <a:rect l="textAreaLeft" t="textAreaTop" r="textAreaRight" b="textAreaBottom"/>
                          <a:pathLst>
                            <a:path w="7560564" h="101460">
                              <a:moveTo>
                                <a:pt x="0" y="0"/>
                              </a:moveTo>
                              <a:lnTo>
                                <a:pt x="7560564" y="90219"/>
                              </a:lnTo>
                              <a:lnTo>
                                <a:pt x="7560564" y="101460"/>
                              </a:lnTo>
                              <a:lnTo>
                                <a:pt x="0" y="1014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de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" name="Picture 5700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6108120" y="351720"/>
                          <a:ext cx="1346760" cy="53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Picture 570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57240" y="418320"/>
                          <a:ext cx="1542240" cy="53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697" style="position:absolute;margin-left:0pt;margin-top:0pt;width:595.35pt;height:75.4pt" coordorigin="0,0" coordsize="11907,1508">
              <v:rect id="shape_0" ID="Rectangle 5702" path="m0,0l-2147483645,0l-2147483645,-2147483646l0,-2147483646xe" stroked="f" o:allowincell="f" style="position:absolute;left:5527;top:802;width:587;height:22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Page </w:t>
                      </w:r>
                    </w:p>
                  </w:txbxContent>
                </v:textbox>
                <w10:wrap type="square"/>
              </v:rect>
              <v:rect id="shape_0" ID="Rectangle 5703" path="m0,0l-2147483645,0l-2147483645,-2147483646l0,-2147483646xe" stroked="f" o:allowincell="f" style="position:absolute;left:5970;top:802;width:148;height:22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0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5704" path="m0,0l-2147483645,0l-2147483645,-2147483646l0,-2147483646xe" stroked="f" o:allowincell="f" style="position:absolute;left:6086;top:802;width:71;height:22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  <v:rect id="shape_0" ID="Rectangle 5705" path="m0,0l-2147483645,0l-2147483645,-2147483646l0,-2147483646xe" stroked="f" o:allowincell="f" style="position:absolute;left:6141;top:802;width:164;height:22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/ </w:t>
                      </w:r>
                    </w:p>
                  </w:txbxContent>
                </v:textbox>
                <w10:wrap type="square"/>
              </v:rect>
              <v:rect id="shape_0" ID="Rectangle 5706" path="m0,0l-2147483645,0l-2147483645,-2147483646l0,-2147483646xe" stroked="f" o:allowincell="f" style="position:absolute;left:6266;top:802;width:148;height:22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NUMPAGES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5707" path="m0,0l-2147483645,0l-2147483645,-2147483646l0,-2147483646xe" stroked="f" o:allowincell="f" style="position:absolute;left:6384;top:802;width:71;height:22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  <v:rect id="shape_0" ID="Rectangle 5708" path="m0,0l-2147483645,0l-2147483645,-2147483646l0,-2147483646xe" stroked="f" o:allowincell="f" style="position:absolute;left:1419;top:978;width:69;height:32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5700" stroked="f" o:allowincell="f" style="position:absolute;left:9619;top:554;width:2120;height:848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square"/>
              </v:shape>
              <v:shape id="shape_0" ID="Picture 5701" stroked="f" o:allowincell="f" style="position:absolute;left:90;top:659;width:2428;height:848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square"/>
              </v:shape>
            </v:group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28636285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PAGE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2</w:t>
        </w:r>
        <w:r>
          <w:rPr>
            <w:b/>
            <w:szCs w:val="24"/>
            <w:bCs/>
          </w:rPr>
          <w:fldChar w:fldCharType="end"/>
        </w:r>
        <w:r>
          <w:rPr/>
          <w:t xml:space="preserve"> sur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NUMPAGES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2</w:t>
        </w:r>
        <w:r>
          <w:rPr>
            <w:b/>
            <w:szCs w:val="24"/>
            <w:bCs/>
          </w:rPr>
          <w:fldChar w:fldCharType="end"/>
        </w:r>
      </w:p>
    </w:sdtContent>
  </w:sdt>
  <w:p>
    <w:pPr>
      <w:pStyle w:val="Normal"/>
      <w:spacing w:lineRule="auto" w:line="259" w:before="0" w:after="0"/>
      <w:ind w:hanging="0" w:left="-1419" w:right="10492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28636285"/>
    </w:sdtPr>
    <w:sdtContent>
      <w:p>
        <w:pPr>
          <w:pStyle w:val="Footer"/>
          <w:jc w:val="center"/>
          <w:rPr>
            <w:b/>
            <w:bCs/>
            <w:szCs w:val="24"/>
          </w:rPr>
        </w:pPr>
        <w:r>
          <w:rPr/>
        </w:r>
      </w:p>
      <w:p>
        <w:pPr>
          <w:pStyle w:val="Footer"/>
          <w:jc w:val="center"/>
          <w:rPr>
            <w:b/>
            <w:bCs/>
            <w:szCs w:val="24"/>
          </w:rPr>
        </w:pPr>
        <w:r>
          <w:rPr>
            <w:b/>
            <w:bCs/>
            <w:szCs w:val="24"/>
          </w:rPr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256446741"/>
    </w:sdtPr>
    <w:sdtContent>
      <w:p>
        <w:pPr>
          <w:pStyle w:val="Footer"/>
          <w:jc w:val="center"/>
          <w:rPr>
            <w:b/>
            <w:bCs/>
            <w:szCs w:val="24"/>
          </w:rPr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416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Fiche : Recherche bibliographique - sélection d’outils Dernière mise à jour : 2020-12-09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240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Fiche : Revue de littérature en santé : focus bibliographique - màj : 2024-05-15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4167"/>
      <w:jc w:val="left"/>
      <w:rPr>
        <w:rFonts w:ascii="Tahoma" w:hAnsi="Tahoma" w:eastAsia="Tahoma" w:cs="Tahoma"/>
        <w:color w:val="3B3838"/>
        <w:sz w:val="18"/>
      </w:rPr>
    </w:pPr>
    <w:r>
      <w:rPr>
        <w:rFonts w:eastAsia="Tahoma" w:cs="Tahoma" w:ascii="Tahoma" w:hAnsi="Tahoma"/>
        <w:color w:val="3B3838"/>
        <w:sz w:val="18"/>
      </w:rPr>
      <w:t xml:space="preserve">Fiche : Revue de littérature : focus bibliographique </w:t>
    </w:r>
  </w:p>
  <w:p>
    <w:pPr>
      <w:pStyle w:val="Normal"/>
      <w:spacing w:lineRule="auto" w:line="235" w:before="0" w:after="0"/>
      <w:ind w:hanging="0" w:left="0" w:right="1699"/>
      <w:jc w:val="left"/>
      <w:rPr>
        <w:rFonts w:ascii="Tahoma" w:hAnsi="Tahoma" w:eastAsia="Tahoma" w:cs="Tahoma"/>
        <w:color w:val="3B3838"/>
        <w:sz w:val="18"/>
      </w:rPr>
    </w:pPr>
    <w:r>
      <w:rPr>
        <w:rFonts w:eastAsia="Tahoma" w:cs="Tahoma" w:ascii="Tahoma" w:hAnsi="Tahoma"/>
        <w:color w:val="3B3838"/>
        <w:sz w:val="18"/>
      </w:rPr>
      <w:t xml:space="preserve">Auteur : Frédérique Flamerie - mise à disposition sous licence </w:t>
    </w:r>
    <w:hyperlink r:id="rId1">
      <w:r>
        <w:rPr>
          <w:rStyle w:val="Hyperlink"/>
          <w:rFonts w:eastAsia="Tahoma" w:cs="Tahoma" w:ascii="Tahoma" w:hAnsi="Tahoma"/>
          <w:sz w:val="18"/>
        </w:rPr>
        <w:t>CC BY-SA</w:t>
      </w:r>
    </w:hyperlink>
  </w:p>
  <w:p>
    <w:pPr>
      <w:pStyle w:val="Normal"/>
      <w:spacing w:lineRule="auto" w:line="235" w:before="0" w:after="0"/>
      <w:ind w:hanging="0" w:left="0" w:right="416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Dernière mise à jour : 2024-05-15 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240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Auteur : Frédérique Flamerie - mise à disposition sous licence </w:t>
    </w:r>
    <w:hyperlink r:id="rId1">
      <w:r>
        <w:rPr>
          <w:rStyle w:val="Hyperlink"/>
          <w:rFonts w:eastAsia="Tahoma" w:cs="Tahoma" w:ascii="Tahoma" w:hAnsi="Tahoma"/>
          <w:color w:val="3B3838"/>
          <w:sz w:val="18"/>
        </w:rPr>
        <w:t>CC BY-SA</w:t>
      </w:r>
    </w:hyperlink>
    <w:r>
      <w:rPr>
        <w:rFonts w:eastAsia="Tahoma" w:cs="Tahoma" w:ascii="Tahoma" w:hAnsi="Tahoma"/>
        <w:color w:val="3B3838"/>
        <w:sz w:val="18"/>
      </w:rPr>
      <w:t xml:space="preserve"> - màj 2025-03-</w:t>
    </w:r>
    <w:r>
      <w:rPr>
        <w:rFonts w:eastAsia="Tahoma" w:cs="Tahoma" w:ascii="Tahoma" w:hAnsi="Tahoma"/>
        <w:color w:val="3B3838"/>
        <w:sz w:val="18"/>
      </w:rPr>
      <w:t>2</w:t>
    </w:r>
    <w:r>
      <w:rPr>
        <w:rFonts w:eastAsia="Tahoma" w:cs="Tahoma" w:ascii="Tahoma" w:hAnsi="Tahoma"/>
        <w:color w:val="3B3838"/>
        <w:sz w:val="18"/>
      </w:rPr>
      <w:t xml:space="preserve">6 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4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4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2684e"/>
    <w:pPr>
      <w:widowControl/>
      <w:suppressAutoHyphens w:val="true"/>
      <w:bidi w:val="0"/>
      <w:spacing w:lineRule="auto" w:line="240" w:before="0" w:after="120"/>
      <w:ind w:hanging="11" w:left="11"/>
      <w:jc w:val="both"/>
    </w:pPr>
    <w:rPr>
      <w:rFonts w:ascii="Corbel" w:hAnsi="Corbel" w:eastAsia="Times New Roman" w:cs="Times New Roman"/>
      <w:color w:val="000000"/>
      <w:kern w:val="0"/>
      <w:sz w:val="24"/>
      <w:szCs w:val="22"/>
      <w:lang w:val="fr-FR" w:eastAsia="fr-FR" w:bidi="ar-SA"/>
    </w:rPr>
  </w:style>
  <w:style w:type="paragraph" w:styleId="Heading1">
    <w:name w:val="heading 1"/>
    <w:next w:val="Normal"/>
    <w:link w:val="Titre1Car"/>
    <w:uiPriority w:val="9"/>
    <w:unhideWhenUsed/>
    <w:qFormat/>
    <w:rsid w:val="00375e0f"/>
    <w:pPr>
      <w:keepNext w:val="true"/>
      <w:keepLines/>
      <w:widowControl/>
      <w:suppressAutoHyphens w:val="true"/>
      <w:bidi w:val="0"/>
      <w:spacing w:lineRule="auto" w:line="247" w:before="0" w:after="240"/>
      <w:ind w:hanging="11" w:left="11"/>
      <w:jc w:val="left"/>
      <w:outlineLvl w:val="0"/>
    </w:pPr>
    <w:rPr>
      <w:rFonts w:ascii="Tahoma" w:hAnsi="Tahoma" w:eastAsia="Tahoma" w:cs="Tahoma"/>
      <w:color w:val="5B9BD5"/>
      <w:kern w:val="0"/>
      <w:sz w:val="36"/>
      <w:szCs w:val="22"/>
      <w:lang w:val="fr-FR" w:eastAsia="fr-FR" w:bidi="ar-SA"/>
    </w:rPr>
  </w:style>
  <w:style w:type="paragraph" w:styleId="Heading2">
    <w:name w:val="heading 2"/>
    <w:next w:val="Normal"/>
    <w:link w:val="Titre2Car"/>
    <w:uiPriority w:val="9"/>
    <w:unhideWhenUsed/>
    <w:qFormat/>
    <w:rsid w:val="00375e0f"/>
    <w:pPr>
      <w:keepNext w:val="true"/>
      <w:keepLines/>
      <w:widowControl/>
      <w:suppressAutoHyphens w:val="true"/>
      <w:bidi w:val="0"/>
      <w:spacing w:lineRule="auto" w:line="240" w:before="240" w:after="240"/>
      <w:ind w:hanging="11" w:left="11"/>
      <w:jc w:val="left"/>
      <w:outlineLvl w:val="1"/>
    </w:pPr>
    <w:rPr>
      <w:rFonts w:ascii="Tahoma" w:hAnsi="Tahoma" w:eastAsia="Tahoma" w:cs="Tahoma"/>
      <w:color w:val="5B9BD5"/>
      <w:kern w:val="0"/>
      <w:sz w:val="32"/>
      <w:szCs w:val="22"/>
      <w:lang w:val="fr-FR" w:eastAsia="fr-FR" w:bidi="ar-SA"/>
    </w:rPr>
  </w:style>
  <w:style w:type="paragraph" w:styleId="Heading3">
    <w:name w:val="heading 3"/>
    <w:next w:val="Normal"/>
    <w:link w:val="Titre3Car"/>
    <w:uiPriority w:val="9"/>
    <w:unhideWhenUsed/>
    <w:qFormat/>
    <w:rsid w:val="00375e0f"/>
    <w:pPr>
      <w:widowControl/>
      <w:suppressAutoHyphens w:val="true"/>
      <w:bidi w:val="0"/>
      <w:spacing w:lineRule="auto" w:line="240" w:before="0" w:after="180"/>
      <w:ind w:hanging="11" w:left="11"/>
      <w:jc w:val="left"/>
      <w:outlineLvl w:val="2"/>
    </w:pPr>
    <w:rPr>
      <w:rFonts w:ascii="Tahoma" w:hAnsi="Tahoma" w:eastAsia="Tahoma" w:cs="Tahoma"/>
      <w:color w:themeColor="accent2" w:val="ED7D31"/>
      <w:kern w:val="0"/>
      <w:sz w:val="28"/>
      <w:szCs w:val="24"/>
      <w:lang w:val="fr-FR" w:eastAsia="en-US" w:bidi="ar-SA"/>
    </w:rPr>
  </w:style>
  <w:style w:type="paragraph" w:styleId="Heading4">
    <w:name w:val="heading 4"/>
    <w:basedOn w:val="Normal"/>
    <w:next w:val="Normal"/>
    <w:link w:val="Titre4Car"/>
    <w:uiPriority w:val="9"/>
    <w:unhideWhenUsed/>
    <w:qFormat/>
    <w:rsid w:val="00702785"/>
    <w:pPr>
      <w:keepNext w:val="true"/>
      <w:keepLines/>
      <w:spacing w:before="40" w:after="120"/>
      <w:outlineLvl w:val="3"/>
    </w:pPr>
    <w:rPr>
      <w:rFonts w:ascii="Tahoma" w:hAnsi="Tahoma" w:eastAsia="" w:cs="" w:cstheme="majorBidi" w:eastAsiaTheme="majorEastAsia"/>
      <w:iCs/>
      <w:color w:themeColor="accent2" w:val="ED7D3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2Car" w:customStyle="1">
    <w:name w:val="Titre 2 Car"/>
    <w:uiPriority w:val="9"/>
    <w:qFormat/>
    <w:rsid w:val="00375e0f"/>
    <w:rPr>
      <w:rFonts w:ascii="Tahoma" w:hAnsi="Tahoma" w:eastAsia="Tahoma" w:cs="Tahoma"/>
      <w:color w:val="5B9BD5"/>
      <w:sz w:val="32"/>
    </w:rPr>
  </w:style>
  <w:style w:type="character" w:styleId="Titre1Car" w:customStyle="1">
    <w:name w:val="Titre 1 Car"/>
    <w:uiPriority w:val="9"/>
    <w:qFormat/>
    <w:rsid w:val="00375e0f"/>
    <w:rPr>
      <w:rFonts w:ascii="Tahoma" w:hAnsi="Tahoma" w:eastAsia="Tahoma" w:cs="Tahoma"/>
      <w:color w:val="5B9BD5"/>
      <w:sz w:val="36"/>
    </w:rPr>
  </w:style>
  <w:style w:type="character" w:styleId="Hyperlink">
    <w:name w:val="Hyperlink"/>
    <w:basedOn w:val="DefaultParagraphFont"/>
    <w:uiPriority w:val="99"/>
    <w:unhideWhenUsed/>
    <w:rsid w:val="00a17b83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2684e"/>
    <w:rPr>
      <w:rFonts w:eastAsia="Tahoma"/>
      <w:color w:val="0033CC"/>
      <w:u w:val="single"/>
    </w:rPr>
  </w:style>
  <w:style w:type="character" w:styleId="Strong">
    <w:name w:val="Strong"/>
    <w:basedOn w:val="DefaultParagraphFont"/>
    <w:uiPriority w:val="22"/>
    <w:qFormat/>
    <w:rsid w:val="00843ef8"/>
    <w:rPr>
      <w:b/>
      <w:bCs/>
    </w:rPr>
  </w:style>
  <w:style w:type="character" w:styleId="TitreCar" w:customStyle="1">
    <w:name w:val="Titre Car"/>
    <w:basedOn w:val="DefaultParagraphFont"/>
    <w:uiPriority w:val="10"/>
    <w:qFormat/>
    <w:rsid w:val="00ab595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1d681b"/>
    <w:rPr>
      <w:i/>
      <w:iCs/>
      <w:color w:themeColor="accent1" w:val="5B9BD5"/>
    </w:rPr>
  </w:style>
  <w:style w:type="character" w:styleId="PieddepageCar" w:customStyle="1">
    <w:name w:val="Pied de page Car"/>
    <w:basedOn w:val="DefaultParagraphFont"/>
    <w:uiPriority w:val="99"/>
    <w:qFormat/>
    <w:rsid w:val="00f877b2"/>
    <w:rPr>
      <w:rFonts w:ascii="Times New Roman" w:hAnsi="Times New Roman" w:eastAsia="Times New Roman" w:cs="Times New Roman"/>
      <w:color w:val="000000"/>
      <w:sz w:val="24"/>
    </w:rPr>
  </w:style>
  <w:style w:type="character" w:styleId="marker" w:customStyle="1">
    <w:name w:val="marker"/>
    <w:basedOn w:val="DefaultParagraphFont"/>
    <w:qFormat/>
    <w:rsid w:val="00362923"/>
    <w:rPr/>
  </w:style>
  <w:style w:type="character" w:styleId="Titre3Car" w:customStyle="1">
    <w:name w:val="Titre 3 Car"/>
    <w:basedOn w:val="DefaultParagraphFont"/>
    <w:uiPriority w:val="9"/>
    <w:qFormat/>
    <w:rsid w:val="00375e0f"/>
    <w:rPr>
      <w:rFonts w:ascii="Tahoma" w:hAnsi="Tahoma" w:eastAsia="Tahoma" w:cs="Tahoma"/>
      <w:color w:themeColor="accent2" w:val="ED7D31"/>
      <w:sz w:val="28"/>
      <w:szCs w:val="24"/>
      <w:lang w:eastAsia="en-US"/>
    </w:rPr>
  </w:style>
  <w:style w:type="character" w:styleId="Mentionnonrsolue1" w:customStyle="1">
    <w:name w:val="Mention non résolue1"/>
    <w:basedOn w:val="DefaultParagraphFont"/>
    <w:uiPriority w:val="99"/>
    <w:semiHidden/>
    <w:unhideWhenUsed/>
    <w:qFormat/>
    <w:rsid w:val="00fd1f8f"/>
    <w:rPr>
      <w:color w:val="605E5C"/>
      <w:shd w:fill="E1DFDD" w:val="clear"/>
    </w:rPr>
  </w:style>
  <w:style w:type="character" w:styleId="NotedebasdepageCar" w:customStyle="1">
    <w:name w:val="Note de bas de page Car"/>
    <w:basedOn w:val="DefaultParagraphFont"/>
    <w:uiPriority w:val="99"/>
    <w:semiHidden/>
    <w:qFormat/>
    <w:rsid w:val="00dc26a5"/>
    <w:rPr>
      <w:rFonts w:ascii="Times New Roman" w:hAnsi="Times New Roman" w:eastAsia="Times New Roman" w:cs="Times New Roman"/>
      <w:color w:val="000000"/>
      <w:sz w:val="20"/>
      <w:szCs w:val="20"/>
    </w:rPr>
  </w:style>
  <w:style w:type="character" w:styleId="Caractresdenotedebasdepage">
    <w:name w:val="Caractères de note de bas de page"/>
    <w:uiPriority w:val="99"/>
    <w:semiHidden/>
    <w:unhideWhenUsed/>
    <w:qFormat/>
    <w:rsid w:val="00dc26a5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04b87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304b87"/>
    <w:rPr>
      <w:rFonts w:ascii="Times New Roman" w:hAnsi="Times New Roman" w:eastAsia="Times New Roman" w:cs="Times New Roman"/>
      <w:color w:val="000000"/>
      <w:sz w:val="20"/>
      <w:szCs w:val="20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304b87"/>
    <w:rPr>
      <w:rFonts w:ascii="Times New Roman" w:hAnsi="Times New Roman" w:eastAsia="Times New Roman" w:cs="Times New Roman"/>
      <w:b/>
      <w:bCs/>
      <w:color w:val="000000"/>
      <w:sz w:val="20"/>
      <w:szCs w:val="20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304b87"/>
    <w:rPr>
      <w:rFonts w:ascii="Segoe UI" w:hAnsi="Segoe UI" w:eastAsia="Times New Roman" w:cs="Segoe UI"/>
      <w:color w:val="00000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44aa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44aa6"/>
    <w:rPr>
      <w:i/>
      <w:iCs/>
      <w:color w:themeColor="text1" w:themeTint="bf" w:val="404040"/>
    </w:rPr>
  </w:style>
  <w:style w:type="character" w:styleId="Titre4Car" w:customStyle="1">
    <w:name w:val="Titre 4 Car"/>
    <w:basedOn w:val="DefaultParagraphFont"/>
    <w:uiPriority w:val="9"/>
    <w:qFormat/>
    <w:rsid w:val="00702785"/>
    <w:rPr>
      <w:rFonts w:ascii="Tahoma" w:hAnsi="Tahoma" w:eastAsia="" w:cs="" w:cstheme="majorBidi" w:eastAsiaTheme="majorEastAsia"/>
      <w:iCs/>
      <w:color w:themeColor="accent2" w:val="ED7D31"/>
      <w:sz w:val="24"/>
    </w:rPr>
  </w:style>
  <w:style w:type="character" w:styleId="BookTitle">
    <w:name w:val="Book Title"/>
    <w:basedOn w:val="DefaultParagraphFont"/>
    <w:uiPriority w:val="33"/>
    <w:qFormat/>
    <w:rsid w:val="00183dfc"/>
    <w:rPr>
      <w:b/>
      <w:bCs/>
      <w:i/>
      <w:iCs/>
      <w:spacing w:val="5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87438f"/>
    <w:rPr>
      <w:rFonts w:ascii="Corbel" w:hAnsi="Corbel" w:eastAsia="Times New Roman" w:cs="Times New Roman"/>
      <w:i/>
      <w:iCs/>
      <w:color w:themeColor="text1" w:themeTint="bf" w:val="404040"/>
      <w:sz w:val="24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2205eb"/>
    <w:rPr>
      <w:color w:val="605E5C"/>
      <w:shd w:fill="E1DFDD" w:val="clear"/>
    </w:rPr>
  </w:style>
  <w:style w:type="character" w:styleId="En-tteCar" w:customStyle="1">
    <w:name w:val="En-tête Car"/>
    <w:basedOn w:val="DefaultParagraphFont"/>
    <w:uiPriority w:val="99"/>
    <w:semiHidden/>
    <w:qFormat/>
    <w:rsid w:val="00c450f0"/>
    <w:rPr>
      <w:rFonts w:ascii="Corbel" w:hAnsi="Corbel" w:eastAsia="Times New Roman" w:cs="Times New Roman"/>
      <w:color w:val="000000"/>
      <w:sz w:val="24"/>
    </w:rPr>
  </w:style>
  <w:style w:type="character" w:styleId="Sautdindex">
    <w:name w:val="Saut d'index"/>
    <w:qFormat/>
    <w:rPr/>
  </w:style>
  <w:style w:type="character" w:styleId="Caractresdenotedefin">
    <w:name w:val="Caractères de note de fin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ab595c"/>
    <w:pPr>
      <w:spacing w:before="0" w:after="200"/>
      <w:ind w:hanging="0" w:left="0"/>
      <w:jc w:val="left"/>
    </w:pPr>
    <w:rPr>
      <w:rFonts w:eastAsia="Calibri" w:cs="" w:cstheme="minorBidi" w:eastAsiaTheme="minorHAnsi"/>
      <w:i/>
      <w:iCs/>
      <w:color w:themeColor="text2" w:val="44546A"/>
      <w:sz w:val="18"/>
      <w:szCs w:val="18"/>
      <w:lang w:eastAsia="en-US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istParagraph">
    <w:name w:val="List Paragraph"/>
    <w:basedOn w:val="Normal"/>
    <w:uiPriority w:val="34"/>
    <w:qFormat/>
    <w:rsid w:val="0012006c"/>
    <w:pPr>
      <w:spacing w:before="0" w:after="120"/>
      <w:ind w:left="720"/>
      <w:contextualSpacing/>
    </w:pPr>
    <w:rPr/>
  </w:style>
  <w:style w:type="paragraph" w:styleId="TOC1">
    <w:name w:val="toc 1"/>
    <w:basedOn w:val="Normal"/>
    <w:next w:val="Normal"/>
    <w:autoRedefine/>
    <w:uiPriority w:val="39"/>
    <w:unhideWhenUsed/>
    <w:rsid w:val="00184e67"/>
    <w:pPr>
      <w:tabs>
        <w:tab w:val="clear" w:pos="708"/>
        <w:tab w:val="right" w:pos="9062" w:leader="dot"/>
      </w:tabs>
      <w:spacing w:before="0" w:after="100"/>
      <w:ind w:left="0"/>
    </w:pPr>
    <w:rPr/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95c"/>
    <w:pPr>
      <w:spacing w:lineRule="auto" w:line="247" w:before="240" w:after="0"/>
      <w:ind w:hanging="10" w:left="10" w:right="2"/>
      <w:jc w:val="both"/>
      <w:outlineLvl w:val="9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Title">
    <w:name w:val="Title"/>
    <w:basedOn w:val="Normal"/>
    <w:next w:val="Normal"/>
    <w:link w:val="TitreCar"/>
    <w:uiPriority w:val="10"/>
    <w:qFormat/>
    <w:rsid w:val="00ab595c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auto"/>
      <w:spacing w:val="-10"/>
      <w:kern w:val="2"/>
      <w:sz w:val="56"/>
      <w:szCs w:val="56"/>
    </w:rPr>
  </w:style>
  <w:style w:type="paragraph" w:styleId="StyleCorbelAutomatiqueGaucheGauche0cmPremireligne" w:customStyle="1">
    <w:name w:val="Style Corbel Automatique Gauche Gauche :  0 cm Première ligne :..."/>
    <w:basedOn w:val="Normal"/>
    <w:qFormat/>
    <w:rsid w:val="007773c6"/>
    <w:pPr>
      <w:spacing w:lineRule="auto" w:line="259"/>
      <w:ind w:hanging="0" w:left="0"/>
      <w:jc w:val="left"/>
    </w:pPr>
    <w:rPr>
      <w:color w:val="auto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73766"/>
    <w:pPr>
      <w:spacing w:before="0" w:after="100"/>
      <w:ind w:left="240"/>
    </w:pPr>
    <w:rPr/>
  </w:style>
  <w:style w:type="paragraph" w:styleId="En-tteetpieddepage">
    <w:name w:val="En-tête et pied de page"/>
    <w:basedOn w:val="Normal"/>
    <w:qFormat/>
    <w:pPr/>
    <w:rPr/>
  </w:style>
  <w:style w:type="paragraph" w:styleId="En-tteetpieddepageuser">
    <w:name w:val="En-tête et pied de page (user)"/>
    <w:basedOn w:val="Normal"/>
    <w:qFormat/>
    <w:pPr/>
    <w:rPr/>
  </w:style>
  <w:style w:type="paragraph" w:styleId="Footer">
    <w:name w:val="footer"/>
    <w:basedOn w:val="Normal"/>
    <w:link w:val="PieddepageCar"/>
    <w:uiPriority w:val="99"/>
    <w:unhideWhenUsed/>
    <w:rsid w:val="00f877b2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837787"/>
    <w:pPr>
      <w:spacing w:beforeAutospacing="1" w:afterAutospacing="1"/>
      <w:ind w:hanging="0" w:left="0"/>
      <w:jc w:val="left"/>
    </w:pPr>
    <w:rPr>
      <w:color w:val="auto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7442f"/>
    <w:pPr>
      <w:spacing w:before="0" w:after="100"/>
      <w:ind w:left="480"/>
    </w:pPr>
    <w:rPr/>
  </w:style>
  <w:style w:type="paragraph" w:styleId="FootnoteText">
    <w:name w:val="footnote text"/>
    <w:basedOn w:val="Normal"/>
    <w:link w:val="NotedebasdepageCar"/>
    <w:uiPriority w:val="99"/>
    <w:semiHidden/>
    <w:unhideWhenUsed/>
    <w:rsid w:val="00dc26a5"/>
    <w:pPr>
      <w:spacing w:before="0" w:after="0"/>
    </w:pPr>
    <w:rPr>
      <w:sz w:val="20"/>
      <w:szCs w:val="20"/>
    </w:rPr>
  </w:style>
  <w:style w:type="paragraph" w:styleId="CommentText">
    <w:name w:val="annotation text"/>
    <w:basedOn w:val="Normal"/>
    <w:link w:val="CommentaireCar"/>
    <w:uiPriority w:val="99"/>
    <w:semiHidden/>
    <w:unhideWhenUsed/>
    <w:rsid w:val="00304b87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ObjetducommentaireCar"/>
    <w:uiPriority w:val="99"/>
    <w:semiHidden/>
    <w:unhideWhenUsed/>
    <w:qFormat/>
    <w:rsid w:val="00304b87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304b87"/>
    <w:pPr>
      <w:spacing w:before="0" w:after="0"/>
    </w:pPr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CitationCar"/>
    <w:uiPriority w:val="29"/>
    <w:qFormat/>
    <w:rsid w:val="0087438f"/>
    <w:pPr>
      <w:spacing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Header">
    <w:name w:val="header"/>
    <w:basedOn w:val="Normal"/>
    <w:link w:val="En-tteCar"/>
    <w:uiPriority w:val="99"/>
    <w:semiHidden/>
    <w:unhideWhenUsed/>
    <w:rsid w:val="00c450f0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Contenudecadre">
    <w:name w:val="Contenu de cadre"/>
    <w:basedOn w:val="Normal"/>
    <w:qFormat/>
    <w:pPr/>
    <w:rPr/>
  </w:style>
  <w:style w:type="paragraph" w:styleId="En-ttegauche">
    <w:name w:val="En-tête gauche"/>
    <w:basedOn w:val="Header"/>
    <w:qFormat/>
    <w:pPr/>
    <w:rPr/>
  </w:style>
  <w:style w:type="paragraph" w:styleId="Commentaire">
    <w:name w:val="Commentaire"/>
    <w:basedOn w:val="Normal"/>
    <w:qFormat/>
    <w:pPr>
      <w:spacing w:before="56" w:after="0"/>
      <w:ind w:left="56" w:right="56"/>
    </w:pPr>
    <w:rPr>
      <w:sz w:val="20"/>
      <w:szCs w:val="20"/>
    </w:rPr>
  </w:style>
  <w:style w:type="paragraph" w:styleId="Contenudecadreuser">
    <w:name w:val="Contenu de cadre (user)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17b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4-Accentuation5">
    <w:name w:val="Grid Table 4 Accent 5"/>
    <w:basedOn w:val="TableauNormal"/>
    <w:uiPriority w:val="49"/>
    <w:rsid w:val="00091c61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b35bf7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3.png"/><Relationship Id="rId9" Type="http://schemas.openxmlformats.org/officeDocument/2006/relationships/hyperlink" Target="http://systematicreviewtools.com/index.php" TargetMode="External"/><Relationship Id="rId10" Type="http://schemas.openxmlformats.org/officeDocument/2006/relationships/hyperlink" Target="https://rayyan.qcri.org/" TargetMode="External"/><Relationship Id="rId11" Type="http://schemas.openxmlformats.org/officeDocument/2006/relationships/hyperlink" Target="https://picoportal.org/" TargetMode="External"/><Relationship Id="rId12" Type="http://schemas.openxmlformats.org/officeDocument/2006/relationships/hyperlink" Target="https://www.covidence.org/" TargetMode="External"/><Relationship Id="rId13" Type="http://schemas.openxmlformats.org/officeDocument/2006/relationships/hyperlink" Target="https://training.cochrane.org/online-learning/core-software/revman" TargetMode="External"/><Relationship Id="rId14" Type="http://schemas.openxmlformats.org/officeDocument/2006/relationships/hyperlink" Target="https://sumari.jbi.global/" TargetMode="External"/><Relationship Id="rId15" Type="http://schemas.openxmlformats.org/officeDocument/2006/relationships/hyperlink" Target="https://www.distillersr.com/" TargetMode="External"/><Relationship Id="rId16" Type="http://schemas.openxmlformats.org/officeDocument/2006/relationships/header" Target="header4.xml"/><Relationship Id="rId17" Type="http://schemas.openxmlformats.org/officeDocument/2006/relationships/header" Target="header5.xml"/><Relationship Id="rId18" Type="http://schemas.openxmlformats.org/officeDocument/2006/relationships/footer" Target="footer4.xml"/><Relationship Id="rId19" Type="http://schemas.openxmlformats.org/officeDocument/2006/relationships/footer" Target="footer5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1.jpeg"/><Relationship Id="rId4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hyperlink" Target="https://creativecommons.org/licenses/by-sa/4.0/" TargetMode="External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hyperlink" Target="https://creativecommons.org/licenses/by-sa/4.0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D77AE-6CCD-4CDC-850E-AD5EB4AAB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Application>LibreOffice/24.8.5.2$Windows_X86_64 LibreOffice_project/fddf2685c70b461e7832239a0162a77216259f22</Application>
  <AppVersion>15.0000</AppVersion>
  <Pages>2</Pages>
  <Words>482</Words>
  <Characters>2571</Characters>
  <CharactersWithSpaces>2991</CharactersWithSpaces>
  <Paragraphs>56</Paragraphs>
  <Company>Direction de la Documentation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2023-03-29T08:03:00Z</dcterms:created>
  <dc:creator>Frédérique Flamerie</dc:creator>
  <dc:description/>
  <dc:language>fr-FR</dc:language>
  <cp:lastModifiedBy/>
  <cp:lastPrinted>2024-05-15T08:32:00Z</cp:lastPrinted>
  <dcterms:modified xsi:type="dcterms:W3CDTF">2025-03-26T17:56:06Z</dcterms:modified>
  <cp:revision>18</cp:revision>
  <dc:subject/>
  <dc:title>Revue de littérature en santé : focus bibliographique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