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  <w:t>Revues de littérature : focus bibliographique</w:t>
      </w:r>
    </w:p>
    <w:p>
      <w:pPr>
        <w:pStyle w:val="Heading1"/>
        <w:rPr>
          <w:lang w:eastAsia="en-US"/>
        </w:rPr>
      </w:pPr>
      <w:bookmarkStart w:id="0" w:name="_Toc166661520"/>
      <w:r>
        <w:rPr>
          <w:lang w:eastAsia="en-US"/>
        </w:rPr>
        <w:t>Logiciels spécialisés pour les revues de littérature</w:t>
      </w:r>
      <w:bookmarkEnd w:id="0"/>
    </w:p>
    <w:p>
      <w:pPr>
        <w:pStyle w:val="Normal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Dans le cadre d’une revue de littérature narrative ou systématisée, les fonctionnalités d’un logiciel de gestion bibliographique peuvent suffire pour supprimer les doublons, coder les articles, etc.</w:t>
      </w:r>
    </w:p>
    <w:p>
      <w:pPr>
        <w:pStyle w:val="Normal"/>
        <w:rPr>
          <w:rFonts w:eastAsia="Calibri" w:eastAsiaTheme="minorHAnsi"/>
          <w:lang w:eastAsia="en-US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-43180</wp:posOffset>
            </wp:positionH>
            <wp:positionV relativeFrom="margin">
              <wp:posOffset>895985</wp:posOffset>
            </wp:positionV>
            <wp:extent cx="657225" cy="370205"/>
            <wp:effectExtent l="0" t="0" r="0" b="0"/>
            <wp:wrapSquare wrapText="bothSides"/>
            <wp:docPr id="13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24" t="0" r="0" b="2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lang w:eastAsia="en-US"/>
        </w:rPr>
        <w:t xml:space="preserve">Vous trouverez ci-dessous une brève sélection d’outils spécialisés pour les revues systématiques, du plus simple au plus sophistiqué. </w:t>
      </w:r>
      <w:hyperlink r:id="rId9" w:tgtFrame="_blank">
        <w:r>
          <w:rPr>
            <w:rStyle w:val="Hyperlink"/>
            <w:bCs/>
            <w:szCs w:val="24"/>
          </w:rPr>
          <w:t>Systematic Review Toolbox</w:t>
        </w:r>
      </w:hyperlink>
      <w:r>
        <w:rPr>
          <w:rFonts w:eastAsia="Calibri" w:eastAsiaTheme="minorHAnsi"/>
          <w:szCs w:val="24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>fournit un catalogue complet de tous les outils utilisables pour toutes les étapes d’une revue systématique.</w:t>
      </w:r>
    </w:p>
    <w:tbl>
      <w:tblPr>
        <w:tblStyle w:val="TableauGrille4-Accentuation1"/>
        <w:tblW w:w="14560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1256"/>
        <w:gridCol w:w="6961"/>
        <w:gridCol w:w="63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0"/>
                <w:szCs w:val="20"/>
                <w:lang w:val="fr-FR" w:eastAsia="en-US" w:bidi="ar-SA"/>
              </w:rPr>
              <w:t>Nom</w:t>
            </w:r>
          </w:p>
        </w:tc>
        <w:tc>
          <w:tcPr>
            <w:tcW w:w="6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0"/>
                <w:szCs w:val="20"/>
                <w:lang w:val="fr-FR" w:eastAsia="en-US" w:bidi="ar-SA"/>
              </w:rPr>
              <w:t>Caractéristiques</w:t>
            </w:r>
          </w:p>
        </w:tc>
        <w:tc>
          <w:tcPr>
            <w:tcW w:w="63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0"/>
                <w:szCs w:val="20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0"/>
                <w:szCs w:val="20"/>
                <w:lang w:val="fr-FR" w:eastAsia="en-US" w:bidi="ar-SA"/>
              </w:rPr>
              <w:t>Coût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hyperlink r:id="rId10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Rayyan</w:t>
              </w:r>
            </w:hyperlink>
          </w:p>
        </w:tc>
        <w:tc>
          <w:tcPr>
            <w:tcW w:w="696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2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Version gratuite limitée aux fonctionnalités d’examen et de codage des études. 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Cette version gratuite n’inclut pas la </w:t>
            </w:r>
            <w:r>
              <w:rPr>
                <w:b/>
                <w:bCs/>
                <w:spacing w:val="4"/>
                <w:kern w:val="0"/>
                <w:sz w:val="20"/>
                <w:szCs w:val="20"/>
                <w:lang w:val="fr-FR" w:eastAsia="fr-FR" w:bidi="ar-SA"/>
              </w:rPr>
              <w:t>fusion par lot des doublons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.</w:t>
            </w:r>
          </w:p>
        </w:tc>
        <w:tc>
          <w:tcPr>
            <w:tcW w:w="634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Gratuit dans la limite de 3 revues actives et des fonctionnalités de base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$59.99 (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tarif étudiant pour 3 revues actives, avec des fonctionnalités limitées)</w:t>
            </w:r>
          </w:p>
        </w:tc>
      </w:tr>
      <w:tr>
        <w:trPr/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kern w:val="0"/>
                <w:szCs w:val="22"/>
                <w:lang w:val="fr-FR" w:eastAsia="fr-FR" w:bidi="ar-SA"/>
              </w:rPr>
            </w:pPr>
            <w:hyperlink r:id="rId11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PICO Portal</w:t>
              </w:r>
            </w:hyperlink>
          </w:p>
        </w:tc>
        <w:tc>
          <w:tcPr>
            <w:tcW w:w="696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29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Diverses fonctionnalités telles que la recherche de PDF en libre accès, en plus des fonctionnalités de tri et d’analyse des études.</w:t>
            </w:r>
          </w:p>
        </w:tc>
        <w:tc>
          <w:tcPr>
            <w:tcW w:w="6343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Gratuit pour 1 projet, avec des fonctionnalités limitées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Abonnement institutionnel et par équipe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color w:val="auto"/>
                <w:sz w:val="20"/>
                <w:szCs w:val="20"/>
              </w:rPr>
            </w:pPr>
            <w:hyperlink r:id="rId12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Covidence</w:t>
              </w:r>
            </w:hyperlink>
          </w:p>
        </w:tc>
        <w:tc>
          <w:tcPr>
            <w:tcW w:w="696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2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Prise en charge de l'examen des résumés et du texte intégral, de la complétion de tableaux de risques de biais et de l'extraction des données.</w:t>
            </w:r>
          </w:p>
        </w:tc>
        <w:tc>
          <w:tcPr>
            <w:tcW w:w="634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Version d’essai gratuite pour 1 revue de 500 références au maximum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284" w:left="389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$289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  (pour 1 revue)</w:t>
            </w:r>
          </w:p>
        </w:tc>
      </w:tr>
      <w:tr>
        <w:trPr/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</w:rPr>
            </w:pPr>
            <w:hyperlink r:id="rId13">
              <w:r>
                <w:rPr>
                  <w:rStyle w:val="Hyperlink"/>
                  <w:b w:val="false"/>
                  <w:bCs w:val="false"/>
                  <w:color w:themeColor="hyperlink" w:val="auto"/>
                  <w:kern w:val="0"/>
                  <w:sz w:val="20"/>
                  <w:szCs w:val="20"/>
                  <w:lang w:val="fr-FR" w:eastAsia="fr-FR" w:bidi="ar-SA"/>
                </w:rPr>
                <w:t>RevMan</w:t>
              </w:r>
            </w:hyperlink>
          </w:p>
        </w:tc>
        <w:tc>
          <w:tcPr>
            <w:tcW w:w="6961" w:type="dxa"/>
            <w:tcBorders/>
            <w:vAlign w:val="center"/>
          </w:tcPr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Développé par Cochrane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Prise en charge intégrée de toutes les étapes, y compris les méta-analyses et la rédaction du protocole et de la revue</w:t>
            </w:r>
          </w:p>
        </w:tc>
        <w:tc>
          <w:tcPr>
            <w:tcW w:w="6343" w:type="dxa"/>
            <w:tcBorders/>
            <w:vAlign w:val="center"/>
          </w:tcPr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Gratuit pour les revues Cochrane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spacing w:val="11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rFonts w:eastAsia="" w:cs="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£75 (</w:t>
            </w:r>
            <w:r>
              <w:rPr>
                <w:rFonts w:eastAsia="" w:cs=""/>
                <w:spacing w:val="4"/>
                <w:kern w:val="0"/>
                <w:sz w:val="20"/>
                <w:szCs w:val="20"/>
                <w:lang w:val="fr-FR" w:eastAsia="fr-FR" w:bidi="ar-SA"/>
              </w:rPr>
              <w:t>tarif étudiant)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hyperlink r:id="rId14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JBI SUMARI</w:t>
              </w:r>
            </w:hyperlink>
          </w:p>
        </w:tc>
        <w:tc>
          <w:tcPr>
            <w:tcW w:w="696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Prise en charge intégrée de toutes les étapes pour 10 types de revue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Plus spécifiquement utile pour les nouveaux types de revue et les revues qualitatives</w:t>
            </w:r>
          </w:p>
        </w:tc>
        <w:tc>
          <w:tcPr>
            <w:tcW w:w="634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Essai gratuit de 14 jours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spacing w:val="11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rFonts w:eastAsia="" w:cs="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$130</w:t>
            </w:r>
          </w:p>
        </w:tc>
      </w:tr>
      <w:tr>
        <w:trPr/>
        <w:tc>
          <w:tcPr>
            <w:tcW w:w="12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hyperlink r:id="rId15">
              <w:r>
                <w:rPr>
                  <w:rStyle w:val="Hyperlink"/>
                  <w:b w:val="false"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DistillerSR</w:t>
              </w:r>
            </w:hyperlink>
          </w:p>
        </w:tc>
        <w:tc>
          <w:tcPr>
            <w:tcW w:w="6961" w:type="dxa"/>
            <w:tcBorders/>
            <w:vAlign w:val="center"/>
          </w:tcPr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Prise en charge de services complémentaires tels que la fourniture de documents en texte intégral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Modules complémentaires pour catégoriser automatiquement les références ou mettre à jour une revue par l’import automatique de nouvelles références</w:t>
            </w:r>
          </w:p>
        </w:tc>
        <w:tc>
          <w:tcPr>
            <w:tcW w:w="6343" w:type="dxa"/>
            <w:tcBorders/>
            <w:vAlign w:val="center"/>
          </w:tcPr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56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kern w:val="0"/>
                <w:sz w:val="20"/>
                <w:szCs w:val="20"/>
                <w:lang w:val="fr-FR" w:eastAsia="fr-FR" w:bidi="ar-SA"/>
              </w:rPr>
              <w:t>Abonnement institutionnel</w:t>
            </w:r>
          </w:p>
          <w:p>
            <w:pPr>
              <w:pStyle w:val="Commentaireuser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hanging="170" w:left="340" w:right="56"/>
              <w:jc w:val="left"/>
              <w:rPr>
                <w:rFonts w:ascii="Corbel" w:hAnsi="Corbel" w:eastAsia="" w:cs="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" w:cs=""/>
                <w:spacing w:val="11"/>
                <w:kern w:val="0"/>
                <w:sz w:val="20"/>
                <w:szCs w:val="20"/>
                <w:lang w:val="fr-FR" w:eastAsia="fr-FR" w:bidi="ar-SA"/>
              </w:rPr>
              <w:t xml:space="preserve">Abonnement individuel annuel à partir de : </w:t>
            </w:r>
            <w:r>
              <w:rPr>
                <w:rFonts w:eastAsia="" w:cs=""/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$240</w:t>
            </w:r>
            <w:r>
              <w:rPr>
                <w:rFonts w:eastAsia="" w:cs=""/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 (tarif pour 3 comptes étudiants, avec des fonctionnalités limitées)</w:t>
            </w:r>
            <w:bookmarkStart w:id="1" w:name="_Toc64634427"/>
            <w:bookmarkEnd w:id="1"/>
          </w:p>
        </w:tc>
      </w:tr>
    </w:tbl>
    <w:p>
      <w:pPr>
        <w:pStyle w:val="Normal"/>
        <w:spacing w:before="0" w:after="160"/>
        <w:ind w:hanging="0" w:left="0"/>
        <w:jc w:val="left"/>
        <w:rPr>
          <w:rFonts w:eastAsia="Calibri" w:cs="" w:cstheme="minorBidi" w:eastAsiaTheme="minorHAnsi"/>
          <w:color w:val="auto"/>
          <w:sz w:val="22"/>
          <w:lang w:eastAsia="en-US"/>
        </w:rPr>
      </w:pPr>
      <w:r>
        <w:rPr>
          <w:rFonts w:eastAsia="Calibri" w:cs="" w:cstheme="minorBidi" w:eastAsiaTheme="minorHAnsi"/>
          <w:color w:val="auto"/>
          <w:sz w:val="22"/>
          <w:lang w:eastAsia="en-US"/>
        </w:rPr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orient="landscape" w:w="16838" w:h="11906"/>
      <w:pgMar w:left="1134" w:right="1134" w:gutter="0" w:header="607" w:top="1021" w:footer="340" w:bottom="68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11125" distR="113030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09760"/>
                          <a:ext cx="3733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1520" y="509760"/>
                          <a:ext cx="939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5320" y="509760"/>
                          <a:ext cx="450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900240" y="509760"/>
                          <a:ext cx="10404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79440" y="509760"/>
                          <a:ext cx="939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4320" y="509760"/>
                          <a:ext cx="450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1720"/>
                          <a:ext cx="43920" cy="20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052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600 w 4286520"/>
                            <a:gd name="textAreaTop" fmla="*/ 0 h 113760"/>
                            <a:gd name="textAreaBottom" fmla="*/ 114840 h 1137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900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600 w 4286520"/>
                            <a:gd name="textAreaTop" fmla="*/ 0 h 56160"/>
                            <a:gd name="textAreaBottom" fmla="*/ 57240 h 56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8840" y="351720"/>
                          <a:ext cx="134604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188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3;width:587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1;top:803;width:147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7;top:803;width:70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2;top:803;width:163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7;top:803;width:147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5;top:803;width:70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79;width:68;height:32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20;top:554;width:2119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7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 xml:space="preserve">Fiche : Revue de littérature : focus bibliographique </w:t>
    </w:r>
  </w:p>
  <w:p>
    <w:pPr>
      <w:pStyle w:val="Normal"/>
      <w:spacing w:lineRule="auto" w:line="235" w:before="0" w:after="0"/>
      <w:ind w:hanging="0" w:left="0" w:right="1699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sz w:val="18"/>
        </w:rPr>
        <w:t>CC BY-SA</w:t>
      </w:r>
    </w:hyperlink>
  </w:p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Dernière mise à jour : 2024-05-15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</w:t>
    </w:r>
    <w:r>
      <w:rPr>
        <w:rFonts w:eastAsia="Tahoma" w:cs="Tahoma" w:ascii="Tahoma" w:hAnsi="Tahoma"/>
        <w:color w:val="3B3838"/>
        <w:sz w:val="18"/>
      </w:rPr>
      <w:t>4</w:t>
    </w:r>
    <w:r>
      <w:rPr>
        <w:rFonts w:eastAsia="Tahoma" w:cs="Tahoma" w:ascii="Tahoma" w:hAnsi="Tahoma"/>
        <w:color w:val="3B3838"/>
        <w:sz w:val="18"/>
      </w:rPr>
      <w:t>-</w:t>
    </w:r>
    <w:r>
      <w:rPr>
        <w:rFonts w:eastAsia="Tahoma" w:cs="Tahoma" w:ascii="Tahoma" w:hAnsi="Tahoma"/>
        <w:color w:val="3B3838"/>
        <w:sz w:val="18"/>
      </w:rPr>
      <w:t>14</w:t>
    </w:r>
    <w:r>
      <w:rPr>
        <w:rFonts w:eastAsia="Tahoma" w:cs="Tahoma" w:ascii="Tahoma" w:hAnsi="Tahoma"/>
        <w:color w:val="3B3838"/>
        <w:sz w:val="18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</w:t>
    </w:r>
    <w:r>
      <w:rPr>
        <w:rFonts w:eastAsia="Tahoma" w:cs="Tahoma" w:ascii="Tahoma" w:hAnsi="Tahoma"/>
        <w:color w:val="3B3838"/>
        <w:sz w:val="18"/>
      </w:rPr>
      <w:t>4</w:t>
    </w:r>
    <w:r>
      <w:rPr>
        <w:rFonts w:eastAsia="Tahoma" w:cs="Tahoma" w:ascii="Tahoma" w:hAnsi="Tahoma"/>
        <w:color w:val="3B3838"/>
        <w:sz w:val="18"/>
      </w:rPr>
      <w:t>-</w:t>
    </w:r>
    <w:r>
      <w:rPr>
        <w:rFonts w:eastAsia="Tahoma" w:cs="Tahoma" w:ascii="Tahoma" w:hAnsi="Tahoma"/>
        <w:color w:val="3B3838"/>
        <w:sz w:val="18"/>
      </w:rPr>
      <w:t>14</w:t>
    </w:r>
    <w:r>
      <w:rPr>
        <w:rFonts w:eastAsia="Tahoma" w:cs="Tahoma" w:ascii="Tahoma" w:hAnsi="Tahoma"/>
        <w:color w:val="3B3838"/>
        <w:sz w:val="18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user">
    <w:name w:val="Caractères de note de bas de page (user)"/>
    <w:uiPriority w:val="99"/>
    <w:semiHidden/>
    <w:unhideWhenUsed/>
    <w:qFormat/>
    <w:rsid w:val="00dc26a5"/>
    <w:rPr>
      <w:vertAlign w:val="superscript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user">
    <w:name w:val="Saut d'index (user)"/>
    <w:qFormat/>
    <w:rPr/>
  </w:style>
  <w:style w:type="character" w:styleId="Caractresdenotedefinuser">
    <w:name w:val="Caractères de note de fin (user)"/>
    <w:qFormat/>
    <w:rPr>
      <w:vertAlign w:val="superscript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user">
    <w:name w:val="En-tête et pied de page (user)"/>
    <w:basedOn w:val="Normal"/>
    <w:qFormat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user">
    <w:name w:val="Contenu de cadre (user)"/>
    <w:basedOn w:val="Normal"/>
    <w:qFormat/>
    <w:pPr/>
    <w:rPr/>
  </w:style>
  <w:style w:type="paragraph" w:styleId="En-ttegaucheuser">
    <w:name w:val="En-tête gauche (user)"/>
    <w:basedOn w:val="Header"/>
    <w:qFormat/>
    <w:pPr/>
    <w:rPr/>
  </w:style>
  <w:style w:type="paragraph" w:styleId="Commentaireuser">
    <w:name w:val="Commentaire (user)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hyperlink" Target="http://systematicreviewtools.com/index.php" TargetMode="External"/><Relationship Id="rId10" Type="http://schemas.openxmlformats.org/officeDocument/2006/relationships/hyperlink" Target="https://rayyan.qcri.org/" TargetMode="External"/><Relationship Id="rId11" Type="http://schemas.openxmlformats.org/officeDocument/2006/relationships/hyperlink" Target="https://picoportal.org/" TargetMode="External"/><Relationship Id="rId12" Type="http://schemas.openxmlformats.org/officeDocument/2006/relationships/hyperlink" Target="https://www.covidence.org/" TargetMode="External"/><Relationship Id="rId13" Type="http://schemas.openxmlformats.org/officeDocument/2006/relationships/hyperlink" Target="https://training.cochrane.org/online-learning/core-software/revman" TargetMode="External"/><Relationship Id="rId14" Type="http://schemas.openxmlformats.org/officeDocument/2006/relationships/hyperlink" Target="https://sumari.jbi.global/" TargetMode="External"/><Relationship Id="rId15" Type="http://schemas.openxmlformats.org/officeDocument/2006/relationships/hyperlink" Target="https://www.distillersr.com/" TargetMode="Externa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LibreOffice/25.2.2.2$Windows_X86_64 LibreOffice_project/7370d4be9e3cf6031a51beef54ff3bda878e3fac</Application>
  <AppVersion>15.0000</AppVersion>
  <Pages>2</Pages>
  <Words>459</Words>
  <Characters>2486</Characters>
  <CharactersWithSpaces>2885</CharactersWithSpaces>
  <Paragraphs>52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2024-05-15T08:32:00Z</cp:lastPrinted>
  <dcterms:modified xsi:type="dcterms:W3CDTF">2025-04-14T15:30:56Z</dcterms:modified>
  <cp:revision>19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