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1418" w:gutter="0" w:header="607" w:top="1520" w:footer="0" w:bottom="1701"/>
          <w:pgNumType w:fmt="decimal"/>
          <w:formProt w:val="false"/>
          <w:titlePg/>
          <w:textDirection w:val="lrTb"/>
          <w:docGrid w:type="default" w:linePitch="326" w:charSpace="0"/>
        </w:sectPr>
        <w:pStyle w:val="Title"/>
        <w:spacing w:before="0" w:after="360"/>
        <w:contextualSpacing/>
        <w:jc w:val="left"/>
        <w:rPr>
          <w:rFonts w:ascii="Tahoma" w:hAnsi="Tahoma" w:cs="Tahoma"/>
          <w:lang w:eastAsia="en-US"/>
        </w:rPr>
      </w:pPr>
      <w:r>
        <w:rPr>
          <w:rFonts w:cs="Tahoma" w:ascii="Tahoma" w:hAnsi="Tahoma"/>
          <w:lang w:eastAsia="en-US"/>
        </w:rPr>
      </w:r>
    </w:p>
    <w:p>
      <w:pPr>
        <w:pStyle w:val="Heading2"/>
        <w:rPr>
          <w:lang w:eastAsia="en-US"/>
        </w:rPr>
      </w:pPr>
      <w:bookmarkStart w:id="0" w:name="_Toc166661511"/>
      <w:bookmarkEnd w:id="0"/>
      <w:r>
        <w:rPr>
          <w:lang w:eastAsia="en-US"/>
        </w:rPr>
        <w:t>Les principaux types de revue de littérature</w:t>
      </w:r>
    </w:p>
    <w:p>
      <w:pPr>
        <w:pStyle w:val="Normal"/>
        <w:spacing w:before="227" w:after="227"/>
        <w:ind w:hanging="0" w:left="0" w:right="0"/>
        <w:jc w:val="left"/>
        <w:rPr>
          <w:rFonts w:eastAsia="Calibri" w:eastAsiaTheme="minorHAnsi"/>
          <w:sz w:val="22"/>
          <w:szCs w:val="22"/>
          <w:lang w:eastAsia="en-US"/>
        </w:rPr>
      </w:pPr>
      <w:r>
        <w:rPr>
          <w:rFonts w:eastAsia="Calibri" w:eastAsiaTheme="minorHAnsi"/>
          <w:sz w:val="22"/>
          <w:szCs w:val="22"/>
          <w:lang w:eastAsia="en-US"/>
        </w:rPr>
        <w:t xml:space="preserve">Les </w:t>
      </w:r>
      <w:r>
        <w:rPr>
          <w:rFonts w:eastAsia="Calibri" w:eastAsiaTheme="minorHAnsi"/>
          <w:b/>
          <w:bCs/>
          <w:sz w:val="22"/>
          <w:szCs w:val="22"/>
          <w:lang w:eastAsia="en-US"/>
        </w:rPr>
        <w:t>revues rapides</w:t>
      </w:r>
      <w:r>
        <w:rPr>
          <w:rFonts w:eastAsia="Calibri" w:eastAsiaTheme="minorHAnsi"/>
          <w:sz w:val="22"/>
          <w:szCs w:val="22"/>
          <w:lang w:eastAsia="en-US"/>
        </w:rPr>
        <w:t xml:space="preserve"> (</w:t>
      </w:r>
      <w:r>
        <w:rPr>
          <w:rFonts w:eastAsia="Calibri" w:eastAsiaTheme="minorHAnsi"/>
          <w:i/>
          <w:iCs/>
          <w:sz w:val="22"/>
          <w:szCs w:val="22"/>
          <w:lang w:eastAsia="en-US"/>
        </w:rPr>
        <w:t>rapid review</w:t>
      </w:r>
      <w:r>
        <w:rPr>
          <w:rFonts w:eastAsia="Calibri" w:eastAsiaTheme="minorHAnsi"/>
          <w:i/>
          <w:iCs/>
          <w:sz w:val="22"/>
          <w:szCs w:val="22"/>
          <w:lang w:eastAsia="en-US"/>
        </w:rPr>
        <w:t>s</w:t>
      </w:r>
      <w:r>
        <w:rPr>
          <w:rFonts w:eastAsia="Calibri" w:eastAsiaTheme="minorHAnsi"/>
          <w:sz w:val="22"/>
          <w:szCs w:val="22"/>
          <w:lang w:eastAsia="en-US"/>
        </w:rPr>
        <w:t xml:space="preserve">), les </w:t>
      </w:r>
      <w:r>
        <w:rPr>
          <w:rFonts w:eastAsia="Calibri" w:eastAsiaTheme="minorHAnsi"/>
          <w:b/>
          <w:bCs/>
          <w:sz w:val="22"/>
          <w:szCs w:val="22"/>
          <w:lang w:eastAsia="en-US"/>
        </w:rPr>
        <w:t>études de la portée</w:t>
      </w:r>
      <w:r>
        <w:rPr>
          <w:rFonts w:eastAsia="Calibri" w:eastAsiaTheme="minorHAnsi"/>
          <w:sz w:val="22"/>
          <w:szCs w:val="22"/>
          <w:lang w:eastAsia="en-US"/>
        </w:rPr>
        <w:t xml:space="preserve"> (</w:t>
      </w:r>
      <w:r>
        <w:rPr>
          <w:rFonts w:eastAsia="Calibri" w:eastAsiaTheme="minorHAnsi"/>
          <w:i/>
          <w:iCs/>
          <w:sz w:val="22"/>
          <w:szCs w:val="22"/>
          <w:lang w:eastAsia="en-US"/>
        </w:rPr>
        <w:t>scoping review</w:t>
      </w:r>
      <w:r>
        <w:rPr>
          <w:rFonts w:eastAsia="Calibri" w:eastAsiaTheme="minorHAnsi"/>
          <w:i/>
          <w:iCs/>
          <w:sz w:val="22"/>
          <w:szCs w:val="22"/>
          <w:lang w:eastAsia="en-US"/>
        </w:rPr>
        <w:t>s</w:t>
      </w:r>
      <w:r>
        <w:rPr>
          <w:rFonts w:eastAsia="Calibri" w:eastAsiaTheme="minorHAnsi"/>
          <w:sz w:val="22"/>
          <w:szCs w:val="22"/>
          <w:lang w:eastAsia="en-US"/>
        </w:rPr>
        <w:t xml:space="preserve">), les </w:t>
      </w:r>
      <w:r>
        <w:rPr>
          <w:rFonts w:eastAsia="Calibri" w:eastAsiaTheme="minorHAnsi"/>
          <w:b/>
          <w:bCs/>
          <w:sz w:val="22"/>
          <w:szCs w:val="22"/>
          <w:lang w:eastAsia="en-US"/>
        </w:rPr>
        <w:t>cartes systématiques</w:t>
      </w:r>
      <w:r>
        <w:rPr>
          <w:rFonts w:eastAsia="Calibri" w:eastAsiaTheme="minorHAnsi"/>
          <w:sz w:val="22"/>
          <w:szCs w:val="22"/>
          <w:lang w:eastAsia="en-US"/>
        </w:rPr>
        <w:t xml:space="preserve"> (</w:t>
      </w:r>
      <w:r>
        <w:rPr>
          <w:rFonts w:eastAsia="Calibri" w:eastAsiaTheme="minorHAnsi"/>
          <w:i/>
          <w:iCs/>
          <w:sz w:val="22"/>
          <w:szCs w:val="22"/>
          <w:lang w:eastAsia="en-US"/>
        </w:rPr>
        <w:t>evidence map</w:t>
      </w:r>
      <w:r>
        <w:rPr>
          <w:rFonts w:eastAsia="Calibri" w:eastAsiaTheme="minorHAnsi"/>
          <w:i/>
          <w:iCs/>
          <w:sz w:val="22"/>
          <w:szCs w:val="22"/>
          <w:lang w:eastAsia="en-US"/>
        </w:rPr>
        <w:t>s</w:t>
      </w:r>
      <w:r>
        <w:rPr>
          <w:rFonts w:eastAsia="Calibri" w:eastAsiaTheme="minorHAnsi"/>
          <w:sz w:val="22"/>
          <w:szCs w:val="22"/>
          <w:lang w:eastAsia="en-US"/>
        </w:rPr>
        <w:t xml:space="preserve">) ou encore les </w:t>
      </w:r>
      <w:r>
        <w:rPr>
          <w:rFonts w:eastAsia="Calibri" w:eastAsiaTheme="minorHAnsi"/>
          <w:b/>
          <w:bCs/>
          <w:sz w:val="22"/>
          <w:szCs w:val="22"/>
          <w:lang w:eastAsia="en-US"/>
        </w:rPr>
        <w:t>revues générales</w:t>
      </w:r>
      <w:r>
        <w:rPr>
          <w:rFonts w:eastAsia="Calibri" w:eastAsiaTheme="minorHAnsi"/>
          <w:sz w:val="22"/>
          <w:szCs w:val="22"/>
          <w:lang w:eastAsia="en-US"/>
        </w:rPr>
        <w:t xml:space="preserve"> (</w:t>
      </w:r>
      <w:r>
        <w:rPr>
          <w:rFonts w:eastAsia="Calibri" w:eastAsiaTheme="minorHAnsi"/>
          <w:i/>
          <w:iCs/>
          <w:sz w:val="22"/>
          <w:szCs w:val="22"/>
          <w:lang w:eastAsia="en-US"/>
        </w:rPr>
        <w:t>umbrella review</w:t>
      </w:r>
      <w:r>
        <w:rPr>
          <w:rFonts w:eastAsia="Calibri" w:eastAsiaTheme="minorHAnsi"/>
          <w:i/>
          <w:iCs/>
          <w:sz w:val="22"/>
          <w:szCs w:val="22"/>
          <w:lang w:eastAsia="en-US"/>
        </w:rPr>
        <w:t>s</w:t>
      </w:r>
      <w:r>
        <w:rPr>
          <w:rFonts w:eastAsia="Calibri" w:eastAsiaTheme="minorHAnsi"/>
          <w:sz w:val="22"/>
          <w:szCs w:val="22"/>
          <w:lang w:eastAsia="en-US"/>
        </w:rPr>
        <w:t xml:space="preserve">) peuvent être assimilées à des revues systématique </w:t>
      </w:r>
      <w:r>
        <w:rPr>
          <w:rFonts w:eastAsia="Calibri" w:eastAsiaTheme="minorHAnsi"/>
          <w:sz w:val="22"/>
          <w:szCs w:val="22"/>
          <w:lang w:eastAsia="en-US"/>
        </w:rPr>
        <w:t xml:space="preserve">(voir </w:t>
      </w:r>
      <w:hyperlink r:id="rId8">
        <w:r>
          <w:rPr>
            <w:rStyle w:val="Hyperlink"/>
            <w:rFonts w:eastAsia="Calibri" w:eastAsiaTheme="minorHAnsi"/>
            <w:sz w:val="22"/>
            <w:szCs w:val="22"/>
            <w:lang w:eastAsia="en-US"/>
          </w:rPr>
          <w:t>la version détaillée du tableau incluant ces types de revue</w:t>
        </w:r>
      </w:hyperlink>
      <w:r>
        <w:rPr>
          <w:rFonts w:eastAsia="Calibri" w:eastAsiaTheme="minorHAnsi"/>
          <w:sz w:val="22"/>
          <w:szCs w:val="22"/>
          <w:lang w:eastAsia="en-US"/>
        </w:rPr>
        <w:t>).</w:t>
      </w:r>
    </w:p>
    <w:tbl>
      <w:tblPr>
        <w:tblStyle w:val="TableauGrille4-Accentuation1"/>
        <w:tblW w:w="14280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1967"/>
        <w:gridCol w:w="7093"/>
        <w:gridCol w:w="52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rPr>
                <w:b/>
                <w:bCs/>
                <w:color w:themeColor="background1" w:val="000000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635" distB="635" distL="635" distR="635" simplePos="0" locked="0" layoutInCell="1" allowOverlap="1" relativeHeight="3" wp14:anchorId="491C074A">
                      <wp:simplePos x="0" y="0"/>
                      <wp:positionH relativeFrom="column">
                        <wp:posOffset>8018780</wp:posOffset>
                      </wp:positionH>
                      <wp:positionV relativeFrom="paragraph">
                        <wp:posOffset>1392555</wp:posOffset>
                      </wp:positionV>
                      <wp:extent cx="3335655" cy="1020445"/>
                      <wp:effectExtent l="635" t="635" r="635" b="635"/>
                      <wp:wrapNone/>
                      <wp:docPr id="13" name="Flèche : pentagon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335760" cy="102060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3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  <a:gs pos="39000">
                                    <a:schemeClr val="accent1">
                                      <a:lumMod val="75000"/>
                                    </a:schemeClr>
                                  </a:gs>
                                  <a:gs pos="63000">
                                    <a:schemeClr val="accent1">
                                      <a:lumMod val="50000"/>
                                    </a:schemeClr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0800" path="m,l@2,l21600,10800l@2,21600l,21600xe">
                      <v:stroke joinstyle="miter"/>
                      <v:formulas>
                        <v:f eqn="val 21600"/>
                        <v:f eqn="val #0"/>
                        <v:f eqn="sum width 0 @1"/>
                        <v:f eqn="sum @2 width 0"/>
                        <v:f eqn="prod 1 @3 2"/>
                        <v:f eqn="prod @2 1 2"/>
                      </v:formulas>
                      <v:path gradientshapeok="t" o:connecttype="rect" textboxrect="0,0,@4,21600"/>
                      <v:handles>
                        <v:h position="@2,0"/>
                      </v:handles>
                    </v:shapetype>
                    <v:shape id="shape_0" ID="Flèche : pentagone 5" path="m0,0l-2147483639,0l-2147483633,-2147483635l-2147483639,-2147483634l0,-2147483634xe" fillcolor="#1f4e79" stroked="f" o:allowincell="t" style="position:absolute;margin-left:631.4pt;margin-top:109.65pt;width:262.6pt;height:80.3pt;mso-wrap-style:none;v-text-anchor:middle;rotation:90" wp14:anchorId="491C074A" type="_x0000_t15">
                      <v:fill o:detectmouseclick="t" color2="#f7fafd"/>
                      <v:stroke color="#3465a4" weight="12600" joinstyle="miter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013E64D8">
                      <wp:simplePos x="0" y="0"/>
                      <wp:positionH relativeFrom="column">
                        <wp:posOffset>9177655</wp:posOffset>
                      </wp:positionH>
                      <wp:positionV relativeFrom="paragraph">
                        <wp:posOffset>402590</wp:posOffset>
                      </wp:positionV>
                      <wp:extent cx="1020445" cy="1148080"/>
                      <wp:effectExtent l="0" t="0" r="0" b="0"/>
                      <wp:wrapNone/>
                      <wp:docPr id="14" name="Zone de text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0600" cy="1148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ind w:hanging="11" w:left="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Méthodes standardisées</w:t>
                                  </w:r>
                                </w:p>
                                <w:p>
                                  <w:pPr>
                                    <w:pStyle w:val="Contenudecadre"/>
                                    <w:ind w:hanging="11" w:left="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Moyens humains et temps</w:t>
                                  </w:r>
                                </w:p>
                                <w:p>
                                  <w:pPr>
                                    <w:pStyle w:val="Contenudecadre"/>
                                    <w:spacing w:before="0" w:after="120"/>
                                    <w:ind w:hanging="11" w:left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Zone de texte 8" path="m0,0l-2147483645,0l-2147483645,-2147483646l0,-2147483646xe" stroked="f" o:allowincell="f" style="position:absolute;margin-left:722.65pt;margin-top:31.7pt;width:80.3pt;height:90.35pt;mso-wrap-style:square;v-text-anchor:top" wp14:anchorId="013E64D8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udecadre"/>
                              <w:ind w:hanging="11" w:left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Méthodes standardisées</w:t>
                            </w:r>
                          </w:p>
                          <w:p>
                            <w:pPr>
                              <w:pStyle w:val="Contenudecadre"/>
                              <w:ind w:hanging="11" w:left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Moyens humains et temps</w:t>
                            </w:r>
                          </w:p>
                          <w:p>
                            <w:pPr>
                              <w:pStyle w:val="Contenudecadre"/>
                              <w:spacing w:before="0" w:after="120"/>
                              <w:ind w:hanging="11" w:lef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2"/>
                <w:szCs w:val="22"/>
                <w:lang w:val="fr-FR" w:eastAsia="en-US" w:bidi="ar-SA"/>
              </w:rPr>
              <w:t>Type de revue</w:t>
            </w:r>
          </w:p>
        </w:tc>
        <w:tc>
          <w:tcPr>
            <w:tcW w:w="70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themeColor="background1" w:val="000000"/>
                <w:sz w:val="22"/>
                <w:szCs w:val="22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2"/>
                <w:szCs w:val="22"/>
                <w:lang w:val="fr-FR" w:eastAsia="en-US" w:bidi="ar-SA"/>
              </w:rPr>
              <w:t>Définition et objectifs</w:t>
            </w:r>
          </w:p>
        </w:tc>
        <w:tc>
          <w:tcPr>
            <w:tcW w:w="5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themeColor="background1" w:val="000000"/>
                <w:sz w:val="22"/>
                <w:szCs w:val="22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2"/>
                <w:szCs w:val="22"/>
                <w:lang w:val="fr-FR" w:eastAsia="en-US" w:bidi="ar-SA"/>
              </w:rPr>
              <w:t>Points d’attention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kern w:val="0"/>
                <w:sz w:val="22"/>
                <w:szCs w:val="22"/>
                <w:lang w:val="fr-FR" w:eastAsia="fr-FR" w:bidi="ar-SA"/>
              </w:rPr>
              <w:t>Revue de littérature / revue narrative *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i/>
                <w:color w:val="auto"/>
                <w:kern w:val="0"/>
                <w:sz w:val="22"/>
                <w:szCs w:val="22"/>
                <w:lang w:val="fr-FR" w:eastAsia="fr-FR" w:bidi="ar-SA"/>
              </w:rPr>
              <w:t>Literature / Narrative Review</w:t>
            </w:r>
          </w:p>
        </w:tc>
        <w:tc>
          <w:tcPr>
            <w:tcW w:w="709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pacing w:val="6"/>
                <w:kern w:val="0"/>
                <w:sz w:val="22"/>
                <w:szCs w:val="22"/>
                <w:lang w:val="fr-FR" w:eastAsia="fr-FR" w:bidi="ar-SA"/>
              </w:rPr>
              <w:t xml:space="preserve">Désigne de façon générique une synthèse d'assez large envergure, menée selon une </w:t>
            </w:r>
            <w:r>
              <w:rPr>
                <w:b/>
                <w:spacing w:val="6"/>
                <w:kern w:val="0"/>
                <w:sz w:val="22"/>
                <w:szCs w:val="22"/>
                <w:lang w:val="fr-FR" w:eastAsia="fr-FR" w:bidi="ar-SA"/>
              </w:rPr>
              <w:t>méthodologie non standardisée</w:t>
            </w:r>
            <w:r>
              <w:rPr>
                <w:spacing w:val="6"/>
                <w:kern w:val="0"/>
                <w:sz w:val="22"/>
                <w:szCs w:val="22"/>
                <w:lang w:val="fr-FR" w:eastAsia="fr-FR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23" w:left="32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auto"/>
                <w:kern w:val="0"/>
                <w:sz w:val="22"/>
                <w:szCs w:val="22"/>
                <w:lang w:val="fr-FR" w:eastAsia="fr-FR" w:bidi="ar-SA"/>
              </w:rPr>
              <w:t>Avoir une vue générale sur un sujet, pour soulever des problèmes habituellement négligés et encourager d'autres recherches sur ce sujet.</w:t>
            </w:r>
          </w:p>
        </w:tc>
        <w:tc>
          <w:tcPr>
            <w:tcW w:w="522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auto"/>
                <w:kern w:val="0"/>
                <w:sz w:val="22"/>
                <w:szCs w:val="22"/>
                <w:lang w:val="fr-FR" w:eastAsia="fr-FR" w:bidi="ar-SA"/>
              </w:rPr>
              <w:t>Les stratégies de recherche, l'exhaustivité et la période couverte peuvent varier et ne suivent pas un protocole défini.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auto"/>
                <w:kern w:val="0"/>
                <w:sz w:val="22"/>
                <w:szCs w:val="22"/>
                <w:lang w:val="fr-FR" w:eastAsia="fr-FR" w:bidi="ar-SA"/>
              </w:rPr>
              <w:t>Peut être menée par 1 ou 2 personnes.</w:t>
            </w:r>
          </w:p>
        </w:tc>
      </w:tr>
      <w:tr>
        <w:trPr/>
        <w:tc>
          <w:tcPr>
            <w:tcW w:w="19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kern w:val="0"/>
                <w:sz w:val="22"/>
                <w:szCs w:val="22"/>
                <w:lang w:val="fr-FR" w:eastAsia="fr-FR" w:bidi="ar-SA"/>
              </w:rPr>
              <w:t>Revue systématisée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i/>
                <w:color w:val="auto"/>
                <w:kern w:val="0"/>
                <w:sz w:val="22"/>
                <w:szCs w:val="22"/>
                <w:lang w:val="fr-FR" w:eastAsia="fr-FR" w:bidi="ar-SA"/>
              </w:rPr>
              <w:t>Systematized Review</w:t>
            </w:r>
          </w:p>
        </w:tc>
        <w:tc>
          <w:tcPr>
            <w:tcW w:w="70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auto"/>
                <w:kern w:val="0"/>
                <w:sz w:val="22"/>
                <w:szCs w:val="22"/>
                <w:lang w:val="fr-FR" w:eastAsia="fr-FR" w:bidi="ar-SA"/>
              </w:rPr>
              <w:t>Recourt à certains éléments du processus de revue systématique, tels que la formalisation et l’application de critères d’inclusion et d’exclusion.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23" w:left="32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auto"/>
                <w:kern w:val="0"/>
                <w:sz w:val="22"/>
                <w:szCs w:val="22"/>
                <w:lang w:val="fr-FR" w:eastAsia="fr-FR" w:bidi="ar-SA"/>
              </w:rPr>
              <w:t xml:space="preserve">Peut être menée comme </w:t>
            </w:r>
            <w:r>
              <w:rPr>
                <w:b/>
                <w:color w:val="auto"/>
                <w:kern w:val="0"/>
                <w:sz w:val="22"/>
                <w:szCs w:val="22"/>
                <w:lang w:val="fr-FR" w:eastAsia="fr-FR" w:bidi="ar-SA"/>
              </w:rPr>
              <w:t xml:space="preserve">devoir étudiant </w:t>
            </w:r>
            <w:r>
              <w:rPr>
                <w:color w:val="auto"/>
                <w:kern w:val="0"/>
                <w:sz w:val="22"/>
                <w:szCs w:val="22"/>
                <w:lang w:val="fr-FR" w:eastAsia="fr-FR" w:bidi="ar-SA"/>
              </w:rPr>
              <w:t xml:space="preserve">ou dans le cadre d’une </w:t>
            </w:r>
            <w:r>
              <w:rPr>
                <w:b/>
                <w:color w:val="auto"/>
                <w:kern w:val="0"/>
                <w:sz w:val="22"/>
                <w:szCs w:val="22"/>
                <w:lang w:val="fr-FR" w:eastAsia="fr-FR" w:bidi="ar-SA"/>
              </w:rPr>
              <w:t>thèse</w:t>
            </w:r>
            <w:r>
              <w:rPr>
                <w:b/>
                <w:color w:val="auto"/>
                <w:kern w:val="0"/>
                <w:sz w:val="22"/>
                <w:szCs w:val="22"/>
                <w:vertAlign w:val="superscript"/>
                <w:lang w:val="fr-FR" w:eastAsia="fr-FR" w:bidi="ar-SA"/>
              </w:rPr>
              <w:t>§</w:t>
            </w:r>
            <w:r>
              <w:rPr>
                <w:color w:val="auto"/>
                <w:kern w:val="0"/>
                <w:sz w:val="22"/>
                <w:szCs w:val="22"/>
                <w:lang w:val="fr-FR" w:eastAsia="fr-FR" w:bidi="ar-SA"/>
              </w:rPr>
              <w:t>.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auto"/>
                <w:kern w:val="0"/>
                <w:sz w:val="22"/>
                <w:szCs w:val="22"/>
                <w:lang w:val="fr-FR" w:eastAsia="fr-FR" w:bidi="ar-SA"/>
              </w:rPr>
              <w:t>Les stratégies de recherche, l'exhaustivité et la période couverte peuvent varier et ne suivent pas un protocole défini.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auto"/>
                <w:kern w:val="0"/>
                <w:sz w:val="22"/>
                <w:szCs w:val="22"/>
                <w:lang w:val="fr-FR" w:eastAsia="fr-FR" w:bidi="ar-SA"/>
              </w:rPr>
              <w:t>Peut être menée par 1 ou 2 personnes.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kern w:val="0"/>
                <w:sz w:val="22"/>
                <w:szCs w:val="22"/>
                <w:lang w:val="fr-FR" w:eastAsia="fr-FR" w:bidi="ar-SA"/>
              </w:rPr>
              <w:t>Revue systématique **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i/>
                <w:color w:val="auto"/>
                <w:kern w:val="0"/>
                <w:sz w:val="22"/>
                <w:szCs w:val="22"/>
                <w:lang w:val="fr-FR" w:eastAsia="fr-FR" w:bidi="ar-SA"/>
              </w:rPr>
              <w:t>Systematic</w:t>
            </w:r>
            <w:r>
              <w:rPr>
                <w:b/>
                <w:bCs/>
                <w:color w:val="auto"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b/>
                <w:bCs/>
                <w:i/>
                <w:color w:val="auto"/>
                <w:kern w:val="0"/>
                <w:sz w:val="22"/>
                <w:szCs w:val="22"/>
                <w:lang w:val="fr-FR" w:eastAsia="fr-FR" w:bidi="ar-SA"/>
              </w:rPr>
              <w:t>Review</w:t>
            </w:r>
          </w:p>
        </w:tc>
        <w:tc>
          <w:tcPr>
            <w:tcW w:w="709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pacing w:val="5"/>
                <w:kern w:val="0"/>
                <w:sz w:val="22"/>
                <w:szCs w:val="22"/>
                <w:lang w:val="fr-FR" w:eastAsia="fr-FR" w:bidi="ar-SA"/>
              </w:rPr>
              <w:t xml:space="preserve">Suit une méthodologie très rigoureuse et reproductible, minimisant les biais, pour produire une </w:t>
            </w:r>
            <w:r>
              <w:rPr>
                <w:b/>
                <w:spacing w:val="5"/>
                <w:kern w:val="0"/>
                <w:sz w:val="22"/>
                <w:szCs w:val="22"/>
                <w:lang w:val="fr-FR" w:eastAsia="fr-FR" w:bidi="ar-SA"/>
              </w:rPr>
              <w:t>synthèse exhaustive</w:t>
            </w:r>
            <w:r>
              <w:rPr>
                <w:spacing w:val="5"/>
                <w:kern w:val="0"/>
                <w:sz w:val="22"/>
                <w:szCs w:val="22"/>
                <w:lang w:val="fr-FR" w:eastAsia="fr-FR" w:bidi="ar-SA"/>
              </w:rPr>
              <w:t xml:space="preserve"> de la littérature.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0" w:right="72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pacing w:val="3"/>
                <w:kern w:val="0"/>
                <w:sz w:val="22"/>
                <w:szCs w:val="22"/>
                <w:lang w:val="fr-FR" w:eastAsia="fr-FR" w:bidi="ar-SA"/>
              </w:rPr>
              <w:t xml:space="preserve">Repérer et synthétiser </w:t>
            </w:r>
            <w:r>
              <w:rPr>
                <w:spacing w:val="-7"/>
                <w:kern w:val="0"/>
                <w:sz w:val="22"/>
                <w:szCs w:val="22"/>
                <w:lang w:val="fr-FR" w:eastAsia="fr-FR" w:bidi="ar-SA"/>
              </w:rPr>
              <w:t xml:space="preserve">toute </w:t>
            </w:r>
            <w:r>
              <w:rPr>
                <w:spacing w:val="3"/>
                <w:kern w:val="0"/>
                <w:sz w:val="22"/>
                <w:szCs w:val="22"/>
                <w:lang w:val="fr-FR" w:eastAsia="fr-FR" w:bidi="ar-SA"/>
              </w:rPr>
              <w:t xml:space="preserve">la recherche savante sur un sujet en particulier, incluant les études publiées ou </w:t>
            </w:r>
            <w:r>
              <w:rPr>
                <w:kern w:val="0"/>
                <w:sz w:val="22"/>
                <w:szCs w:val="22"/>
                <w:lang w:val="fr-FR" w:eastAsia="fr-FR" w:bidi="ar-SA"/>
              </w:rPr>
              <w:t>non.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0" w:left="0" w:right="72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pacing w:val="6"/>
                <w:kern w:val="0"/>
                <w:sz w:val="22"/>
                <w:szCs w:val="22"/>
                <w:lang w:val="fr-FR" w:eastAsia="fr-FR" w:bidi="ar-SA"/>
              </w:rPr>
              <w:t xml:space="preserve">Produire des données probantes pour la production de politiques </w:t>
            </w:r>
            <w:r>
              <w:rPr>
                <w:spacing w:val="5"/>
                <w:kern w:val="0"/>
                <w:sz w:val="22"/>
                <w:szCs w:val="22"/>
                <w:lang w:val="fr-FR" w:eastAsia="fr-FR" w:bidi="ar-SA"/>
              </w:rPr>
              <w:t>et pour identifier des écarts de savoirs.</w:t>
            </w:r>
          </w:p>
        </w:tc>
        <w:tc>
          <w:tcPr>
            <w:tcW w:w="522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pacing w:val="11"/>
                <w:kern w:val="0"/>
                <w:sz w:val="22"/>
                <w:szCs w:val="22"/>
                <w:lang w:val="fr-FR" w:eastAsia="fr-FR" w:bidi="ar-SA"/>
              </w:rPr>
              <w:t>Question de recherche précise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pacing w:val="14"/>
                <w:kern w:val="0"/>
                <w:sz w:val="22"/>
                <w:szCs w:val="22"/>
                <w:lang w:val="fr-FR" w:eastAsia="fr-FR" w:bidi="ar-SA"/>
              </w:rPr>
              <w:t>Peut inclure une méta-analyse.</w:t>
            </w:r>
          </w:p>
        </w:tc>
      </w:tr>
    </w:tbl>
    <w:p>
      <w:pPr>
        <w:pStyle w:val="Normal"/>
        <w:spacing w:before="120" w:after="0"/>
        <w:ind w:hanging="0" w:left="0"/>
        <w:contextualSpacing/>
        <w:jc w:val="left"/>
        <w:rPr/>
      </w:pPr>
      <w:r>
        <w:rPr>
          <w:rFonts w:eastAsia="Calibri" w:eastAsiaTheme="minorHAnsi"/>
          <w:i/>
          <w:sz w:val="20"/>
          <w:szCs w:val="20"/>
          <w:lang w:eastAsia="en-US"/>
        </w:rPr>
        <w:t xml:space="preserve">* </w:t>
      </w:r>
      <w:r>
        <w:rPr>
          <w:i/>
          <w:color w:val="auto"/>
          <w:sz w:val="20"/>
          <w:szCs w:val="20"/>
        </w:rPr>
        <w:t xml:space="preserve">Guide des bibliothèques de l’université de Montréal : </w:t>
      </w:r>
      <w:hyperlink r:id="rId9">
        <w:r>
          <w:rPr>
            <w:rStyle w:val="Hyperlink"/>
            <w:i/>
            <w:sz w:val="20"/>
            <w:szCs w:val="20"/>
          </w:rPr>
          <w:t>Réaliser une revue de littérature</w:t>
        </w:r>
      </w:hyperlink>
      <w:r>
        <w:rPr>
          <w:rFonts w:eastAsia="Calibri" w:eastAsiaTheme="minorHAnsi"/>
          <w:i/>
          <w:sz w:val="20"/>
          <w:szCs w:val="20"/>
          <w:lang w:eastAsia="en-US"/>
        </w:rPr>
        <w:t xml:space="preserve"> -  ** </w:t>
      </w:r>
      <w:r>
        <w:rPr>
          <w:i/>
          <w:color w:val="auto"/>
          <w:sz w:val="20"/>
          <w:szCs w:val="20"/>
        </w:rPr>
        <w:t xml:space="preserve">Guide des bibliothèques de l’université de Montréal : </w:t>
      </w:r>
      <w:hyperlink r:id="rId10">
        <w:r>
          <w:rPr>
            <w:rStyle w:val="Hyperlink"/>
            <w:rFonts w:eastAsia="Tahoma"/>
            <w:i/>
            <w:sz w:val="20"/>
            <w:szCs w:val="20"/>
          </w:rPr>
          <w:t>Rédiger une revue systématique</w:t>
        </w:r>
      </w:hyperlink>
    </w:p>
    <w:p>
      <w:pPr>
        <w:pStyle w:val="Normal"/>
        <w:jc w:val="left"/>
        <w:rPr/>
      </w:pPr>
      <w:r>
        <w:rPr>
          <w:rStyle w:val="Hyperlink"/>
          <w:color w:val="000000"/>
          <w:sz w:val="20"/>
          <w:szCs w:val="20"/>
          <w:u w:val="none"/>
        </w:rPr>
        <w:t xml:space="preserve">§ Voir : </w:t>
      </w:r>
      <w:r>
        <w:rPr>
          <w:rStyle w:val="Hyperlink"/>
          <w:color w:val="auto"/>
          <w:kern w:val="0"/>
          <w:sz w:val="20"/>
          <w:szCs w:val="20"/>
          <w:u w:val="none"/>
          <w:lang w:val="fr-FR" w:eastAsia="fr-FR" w:bidi="ar-SA"/>
        </w:rPr>
        <w:t xml:space="preserve">Lipke, L., &amp; Price, C. (2025). Rethinking Systematic Review Assignment Design in Graduate Health Science Education from Librarians’ Perspectives. </w:t>
      </w:r>
      <w:r>
        <w:rPr>
          <w:rStyle w:val="Hyperlink"/>
          <w:i/>
          <w:color w:val="auto"/>
          <w:kern w:val="0"/>
          <w:sz w:val="20"/>
          <w:szCs w:val="20"/>
          <w:u w:val="none"/>
          <w:lang w:val="fr-FR" w:eastAsia="fr-FR" w:bidi="ar-SA"/>
        </w:rPr>
        <w:t>Hypothesis</w:t>
      </w:r>
      <w:r>
        <w:rPr>
          <w:rStyle w:val="Hyperlink"/>
          <w:color w:val="auto"/>
          <w:kern w:val="0"/>
          <w:sz w:val="20"/>
          <w:szCs w:val="20"/>
          <w:u w:val="none"/>
          <w:lang w:val="fr-FR" w:eastAsia="fr-FR" w:bidi="ar-SA"/>
        </w:rPr>
        <w:t xml:space="preserve">, </w:t>
      </w:r>
      <w:r>
        <w:rPr>
          <w:rStyle w:val="Hyperlink"/>
          <w:i/>
          <w:color w:val="auto"/>
          <w:kern w:val="0"/>
          <w:sz w:val="20"/>
          <w:szCs w:val="20"/>
          <w:u w:val="none"/>
          <w:lang w:val="fr-FR" w:eastAsia="fr-FR" w:bidi="ar-SA"/>
        </w:rPr>
        <w:t>37</w:t>
      </w:r>
      <w:r>
        <w:rPr>
          <w:rStyle w:val="Hyperlink"/>
          <w:color w:val="auto"/>
          <w:kern w:val="0"/>
          <w:sz w:val="20"/>
          <w:szCs w:val="20"/>
          <w:u w:val="none"/>
          <w:lang w:val="fr-FR" w:eastAsia="fr-FR" w:bidi="ar-SA"/>
        </w:rPr>
        <w:t xml:space="preserve">(1). </w:t>
      </w:r>
      <w:hyperlink r:id="rId11">
        <w:r>
          <w:rPr>
            <w:rStyle w:val="Hyperlink"/>
            <w:color w:val="auto"/>
            <w:kern w:val="0"/>
            <w:sz w:val="20"/>
            <w:szCs w:val="20"/>
            <w:u w:val="none"/>
            <w:lang w:val="fr-FR" w:eastAsia="fr-FR" w:bidi="ar-SA"/>
          </w:rPr>
          <w:t>https://doi.org/10.18060/28463</w:t>
        </w:r>
      </w:hyperlink>
    </w:p>
    <w:p>
      <w:pPr>
        <w:pStyle w:val="Normal"/>
        <w:spacing w:before="283" w:after="0"/>
        <w:ind w:hanging="0" w:left="0"/>
        <w:jc w:val="left"/>
        <w:rPr>
          <w:rFonts w:eastAsia="Calibri" w:eastAsiaTheme="minorHAnsi"/>
          <w:sz w:val="20"/>
          <w:szCs w:val="20"/>
          <w:lang w:eastAsia="en-US"/>
        </w:rPr>
      </w:pPr>
      <w:r>
        <w:rPr>
          <w:rFonts w:eastAsia="Calibri" w:eastAsiaTheme="minorHAnsi"/>
          <w:sz w:val="20"/>
          <w:szCs w:val="20"/>
          <w:lang w:eastAsia="en-US"/>
        </w:rPr>
        <w:t xml:space="preserve">Traduit et adapté de : </w:t>
      </w:r>
    </w:p>
    <w:p>
      <w:pPr>
        <w:pStyle w:val="Normal"/>
        <w:spacing w:before="0" w:after="0"/>
        <w:ind w:firstLine="284" w:left="0"/>
        <w:jc w:val="left"/>
        <w:rPr/>
      </w:pPr>
      <w:r>
        <w:rPr>
          <w:sz w:val="20"/>
          <w:szCs w:val="20"/>
        </w:rPr>
        <w:tab/>
        <w:t xml:space="preserve">Université de Montréal - Bibliothèques. </w:t>
      </w:r>
      <w:r>
        <w:rPr>
          <w:i/>
          <w:iCs/>
          <w:sz w:val="20"/>
          <w:szCs w:val="20"/>
        </w:rPr>
        <w:t>Quel type de synthèse des connaissances vous convient?</w:t>
      </w:r>
      <w:r>
        <w:rPr>
          <w:sz w:val="20"/>
          <w:szCs w:val="20"/>
        </w:rPr>
        <w:t xml:space="preserve"> </w:t>
      </w:r>
      <w:hyperlink r:id="rId12">
        <w:r>
          <w:rPr>
            <w:rStyle w:val="Hyperlink"/>
            <w:rFonts w:eastAsia="Tahoma"/>
            <w:sz w:val="20"/>
            <w:szCs w:val="20"/>
          </w:rPr>
          <w:t>https://bib.umontreal.ca/evaluer-analyser-rediger/syntheses-connaissances</w:t>
        </w:r>
      </w:hyperlink>
      <w:r>
        <w:rPr>
          <w:sz w:val="20"/>
          <w:szCs w:val="20"/>
        </w:rPr>
        <w:t xml:space="preserve"> </w:t>
      </w:r>
    </w:p>
    <w:p>
      <w:pPr>
        <w:pStyle w:val="Normal"/>
        <w:spacing w:before="0" w:after="0"/>
        <w:ind w:firstLine="284" w:left="0"/>
        <w:jc w:val="left"/>
        <w:rPr/>
      </w:pPr>
      <w:r>
        <w:rPr>
          <w:sz w:val="20"/>
          <w:szCs w:val="20"/>
        </w:rPr>
        <w:tab/>
        <w:t xml:space="preserve">University of North Carolina - Health Sciences Library. </w:t>
      </w:r>
      <w:r>
        <w:rPr>
          <w:i/>
          <w:iCs/>
          <w:sz w:val="20"/>
          <w:szCs w:val="20"/>
          <w:lang w:val="en-US"/>
        </w:rPr>
        <w:t>Systematic Reviews</w:t>
      </w:r>
      <w:r>
        <w:rPr>
          <w:sz w:val="20"/>
          <w:szCs w:val="20"/>
          <w:lang w:val="en-US"/>
        </w:rPr>
        <w:t xml:space="preserve">. </w:t>
      </w:r>
      <w:hyperlink r:id="rId13">
        <w:r>
          <w:rPr>
            <w:rStyle w:val="Hyperlink"/>
            <w:rFonts w:eastAsia="Tahoma"/>
            <w:sz w:val="20"/>
            <w:szCs w:val="20"/>
          </w:rPr>
          <w:t>https://guides.lib.unc.edu/systematic-reviews</w:t>
        </w:r>
      </w:hyperlink>
    </w:p>
    <w:p>
      <w:pPr>
        <w:pStyle w:val="Normal"/>
        <w:spacing w:before="0" w:after="0"/>
        <w:ind w:hanging="0" w:left="0"/>
        <w:contextualSpacing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sz w:val="20"/>
          <w:szCs w:val="20"/>
          <w:lang w:eastAsia="en-US"/>
        </w:rPr>
        <w:t>Présentation complète des caractéristiques de chaque type de revue et exemples de chacun d’eux :</w:t>
      </w:r>
    </w:p>
    <w:p>
      <w:pPr>
        <w:pStyle w:val="Normal"/>
        <w:spacing w:before="0" w:after="0"/>
        <w:ind w:hanging="0" w:left="0"/>
        <w:contextualSpacing/>
        <w:jc w:val="left"/>
        <w:rPr/>
      </w:pPr>
      <w:r>
        <w:rPr>
          <w:sz w:val="20"/>
          <w:szCs w:val="20"/>
        </w:rPr>
        <w:tab/>
        <w:t>Nambiema, A., Fouquet, J., Guilloteau, J., &amp; Descatha, A. (2021). La revue systématique et autres types de revue de la littérature</w:t>
      </w:r>
      <w:r>
        <w:rPr>
          <w:rFonts w:cs="Arial" w:ascii="Arial" w:hAnsi="Arial"/>
          <w:sz w:val="20"/>
          <w:szCs w:val="20"/>
        </w:rPr>
        <w:t> </w:t>
      </w:r>
      <w:r>
        <w:rPr>
          <w:sz w:val="20"/>
          <w:szCs w:val="20"/>
        </w:rPr>
        <w:t>: Qu</w:t>
      </w:r>
      <w:r>
        <w:rPr>
          <w:rFonts w:cs="Corbel"/>
          <w:sz w:val="20"/>
          <w:szCs w:val="20"/>
        </w:rPr>
        <w:t>’</w:t>
      </w:r>
      <w:r>
        <w:rPr>
          <w:sz w:val="20"/>
          <w:szCs w:val="20"/>
        </w:rPr>
        <w:t>est-ce que c</w:t>
      </w:r>
      <w:r>
        <w:rPr>
          <w:rFonts w:cs="Corbel"/>
          <w:sz w:val="20"/>
          <w:szCs w:val="20"/>
        </w:rPr>
        <w:t>’</w:t>
      </w:r>
      <w:r>
        <w:rPr>
          <w:sz w:val="20"/>
          <w:szCs w:val="20"/>
        </w:rPr>
        <w:t>est, quand, comment, pourquoi</w:t>
      </w:r>
      <w:r>
        <w:rPr>
          <w:rFonts w:cs="Corbel"/>
          <w:sz w:val="20"/>
          <w:szCs w:val="20"/>
        </w:rPr>
        <w:t> </w:t>
      </w:r>
      <w:r>
        <w:rPr>
          <w:sz w:val="20"/>
          <w:szCs w:val="20"/>
        </w:rPr>
        <w:t xml:space="preserve">? </w:t>
        <w:tab/>
      </w:r>
      <w:r>
        <w:rPr>
          <w:i/>
          <w:iCs/>
          <w:sz w:val="20"/>
          <w:szCs w:val="20"/>
        </w:rPr>
        <w:t>Archives des Maladies Professionnelles et de l’Environnement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82</w:t>
      </w:r>
      <w:r>
        <w:rPr>
          <w:sz w:val="20"/>
          <w:szCs w:val="20"/>
        </w:rPr>
        <w:t>(5), 539</w:t>
        <w:noBreakHyphen/>
        <w:t xml:space="preserve">552. </w:t>
      </w:r>
      <w:hyperlink r:id="rId14">
        <w:r>
          <w:rPr>
            <w:rStyle w:val="Hyperlink"/>
            <w:rFonts w:eastAsia="Tahoma"/>
            <w:sz w:val="20"/>
            <w:szCs w:val="20"/>
          </w:rPr>
          <w:t>https://doi.org/10.1016/j.admp.2021.03.004</w:t>
        </w:r>
      </w:hyperlink>
    </w:p>
    <w:p>
      <w:pPr>
        <w:pStyle w:val="Normal"/>
        <w:spacing w:before="0" w:after="120"/>
        <w:jc w:val="left"/>
        <w:rPr/>
      </w:pPr>
      <w:r>
        <w:rPr>
          <w:sz w:val="20"/>
          <w:szCs w:val="20"/>
        </w:rPr>
        <w:tab/>
        <w:tab/>
        <w:t xml:space="preserve">Haddaway, N. R., Lotfi, T., &amp; Mbuagbaw, L. (2022). Systematic reviews : A glossary for public health. </w:t>
      </w:r>
      <w:r>
        <w:rPr>
          <w:i/>
          <w:iCs/>
          <w:sz w:val="20"/>
          <w:szCs w:val="20"/>
        </w:rPr>
        <w:t>Scandinavian Journal of Public Health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51</w:t>
      </w:r>
      <w:r>
        <w:rPr>
          <w:sz w:val="20"/>
          <w:szCs w:val="20"/>
        </w:rPr>
        <w:t>(1), 1</w:t>
        <w:noBreakHyphen/>
        <w:t xml:space="preserve">10. </w:t>
        <w:tab/>
      </w:r>
      <w:hyperlink r:id="rId15">
        <w:r>
          <w:rPr>
            <w:rStyle w:val="Hyperlink"/>
            <w:sz w:val="20"/>
            <w:szCs w:val="20"/>
          </w:rPr>
          <w:t>https://doi.org/10.1177/14034948221074998</w:t>
        </w:r>
      </w:hyperlink>
      <w:r>
        <w:rPr>
          <w:sz w:val="20"/>
          <w:szCs w:val="20"/>
        </w:rPr>
        <w:t xml:space="preserve">  </w:t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orient="landscape" w:w="16838" w:h="11906"/>
      <w:pgMar w:left="510" w:right="510" w:gutter="0" w:header="510" w:top="624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rbel">
    <w:charset w:val="00"/>
    <w:family w:val="swiss"/>
    <w:pitch w:val="variable"/>
  </w:font>
  <w:font w:name="Tahoma">
    <w:charset w:val="00"/>
    <w:family w:val="swiss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-1419" w:right="10492"/>
      <w:jc w:val="left"/>
      <w:rPr/>
    </w:pPr>
    <w:r>
      <w:rPr/>
      <mc:AlternateContent>
        <mc:Choice Requires="wpg">
          <w:drawing>
            <wp:anchor behindDoc="1" distT="0" distB="0" distL="109855" distR="113030" simplePos="0" locked="0" layoutInCell="0" allowOverlap="1" relativeHeight="2" wp14:anchorId="097864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957580"/>
              <wp:effectExtent l="0" t="0" r="0" b="0"/>
              <wp:wrapSquare wrapText="bothSides"/>
              <wp:docPr id="1" name="Group 569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57600"/>
                        <a:chOff x="0" y="0"/>
                        <a:chExt cx="7561080" cy="957600"/>
                      </a:xfrm>
                    </wpg:grpSpPr>
                    <wps:wsp>
                      <wps:cNvPr id="2" name="Rectangle 5702"/>
                      <wps:cNvSpPr/>
                      <wps:spPr>
                        <a:xfrm>
                          <a:off x="3509640" y="510480"/>
                          <a:ext cx="37332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" name="Rectangle 5703"/>
                      <wps:cNvSpPr/>
                      <wps:spPr>
                        <a:xfrm>
                          <a:off x="3792240" y="510480"/>
                          <a:ext cx="9324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" name="Rectangle 5704"/>
                      <wps:cNvSpPr/>
                      <wps:spPr>
                        <a:xfrm>
                          <a:off x="3866040" y="510480"/>
                          <a:ext cx="4428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" name="Rectangle 5705"/>
                      <wps:cNvSpPr/>
                      <wps:spPr>
                        <a:xfrm>
                          <a:off x="3900960" y="510480"/>
                          <a:ext cx="10368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6" name="Rectangle 5706"/>
                      <wps:cNvSpPr/>
                      <wps:spPr>
                        <a:xfrm>
                          <a:off x="3980160" y="510480"/>
                          <a:ext cx="9324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NUMPAGES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7" name="Rectangle 5707"/>
                      <wps:cNvSpPr/>
                      <wps:spPr>
                        <a:xfrm>
                          <a:off x="4055040" y="510480"/>
                          <a:ext cx="4428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8" name="Rectangle 5708"/>
                      <wps:cNvSpPr/>
                      <wps:spPr>
                        <a:xfrm>
                          <a:off x="901080" y="622440"/>
                          <a:ext cx="43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9" name="Shape 5698"/>
                      <wps:cNvSpPr/>
                      <wps:spPr>
                        <a:xfrm>
                          <a:off x="0" y="0"/>
                          <a:ext cx="7561080" cy="20016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7960 w 4286520"/>
                            <a:gd name="textAreaTop" fmla="*/ 0 h 113400"/>
                            <a:gd name="textAreaBottom" fmla="*/ 114840 h 113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0564" h="202933">
                              <a:moveTo>
                                <a:pt x="0" y="0"/>
                              </a:moveTo>
                              <a:lnTo>
                                <a:pt x="7560564" y="185377"/>
                              </a:lnTo>
                              <a:lnTo>
                                <a:pt x="7560564" y="202933"/>
                              </a:lnTo>
                              <a:lnTo>
                                <a:pt x="0" y="202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3a3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Shape 5699"/>
                      <wps:cNvSpPr/>
                      <wps:spPr>
                        <a:xfrm>
                          <a:off x="0" y="114480"/>
                          <a:ext cx="7561080" cy="9828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7960 w 4286520"/>
                            <a:gd name="textAreaTop" fmla="*/ 0 h 55800"/>
                            <a:gd name="textAreaBottom" fmla="*/ 57240 h 558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0564" h="101460">
                              <a:moveTo>
                                <a:pt x="0" y="0"/>
                              </a:moveTo>
                              <a:lnTo>
                                <a:pt x="7560564" y="90219"/>
                              </a:lnTo>
                              <a:lnTo>
                                <a:pt x="7560564" y="101460"/>
                              </a:lnTo>
                              <a:lnTo>
                                <a:pt x="0" y="101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e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" name="Picture 570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109200" y="351720"/>
                          <a:ext cx="134568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Picture 570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57240" y="418320"/>
                          <a:ext cx="154116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697" style="position:absolute;margin-left:0pt;margin-top:0pt;width:595.35pt;height:75.4pt" coordorigin="0,0" coordsize="11907,1508">
              <v:rect id="shape_0" ID="Rectangle 5702" path="m0,0l-2147483645,0l-2147483645,-2147483646l0,-2147483646xe" stroked="f" o:allowincell="f" style="position:absolute;left:5527;top:804;width:587;height:22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Page </w:t>
                      </w:r>
                    </w:p>
                  </w:txbxContent>
                </v:textbox>
                <w10:wrap type="square"/>
              </v:rect>
              <v:rect id="shape_0" ID="Rectangle 5703" path="m0,0l-2147483645,0l-2147483645,-2147483646l0,-2147483646xe" stroked="f" o:allowincell="f" style="position:absolute;left:5972;top:804;width:146;height:22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0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4" path="m0,0l-2147483645,0l-2147483645,-2147483646l0,-2147483646xe" stroked="f" o:allowincell="f" style="position:absolute;left:6088;top:804;width:69;height:22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5" path="m0,0l-2147483645,0l-2147483645,-2147483646l0,-2147483646xe" stroked="f" o:allowincell="f" style="position:absolute;left:6143;top:804;width:162;height:22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/ </w:t>
                      </w:r>
                    </w:p>
                  </w:txbxContent>
                </v:textbox>
                <w10:wrap type="square"/>
              </v:rect>
              <v:rect id="shape_0" ID="Rectangle 5706" path="m0,0l-2147483645,0l-2147483645,-2147483646l0,-2147483646xe" stroked="f" o:allowincell="f" style="position:absolute;left:6268;top:804;width:146;height:22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NUMPAGES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7" path="m0,0l-2147483645,0l-2147483645,-2147483646l0,-2147483646xe" stroked="f" o:allowincell="f" style="position:absolute;left:6386;top:804;width:69;height:22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8" path="m0,0l-2147483645,0l-2147483645,-2147483646l0,-2147483646xe" stroked="f" o:allowincell="f" style="position:absolute;left:1419;top:980;width:67;height:31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700" stroked="f" o:allowincell="f" style="position:absolute;left:9621;top:554;width:2118;height:84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5701" stroked="f" o:allowincell="f" style="position:absolute;left:90;top:659;width:2426;height:848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0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Normal"/>
      <w:spacing w:lineRule="auto" w:line="259" w:before="0" w:after="0"/>
      <w:ind w:hanging="0" w:left="-1419" w:right="10492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1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  <w:p>
        <w:pPr>
          <w:pStyle w:val="Footer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ind w:hanging="0" w:left="11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ind w:hanging="0" w:left="11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Recherche bibliographique - sélection d’outils Dernière mise à jour : 2020-12-09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Revue de littérature en santé : focus bibliographique - màj : 2024-05-15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color w:val="3B3838"/>
          <w:sz w:val="18"/>
        </w:rPr>
        <w:t>CC BY-SA</w:t>
      </w:r>
    </w:hyperlink>
    <w:r>
      <w:rPr>
        <w:rFonts w:eastAsia="Tahoma" w:cs="Tahoma" w:ascii="Tahoma" w:hAnsi="Tahoma"/>
        <w:color w:val="3B3838"/>
        <w:sz w:val="18"/>
      </w:rPr>
      <w:t xml:space="preserve"> - màj 2025-0</w:t>
    </w:r>
    <w:r>
      <w:rPr>
        <w:rFonts w:eastAsia="Tahoma" w:cs="Tahoma" w:ascii="Tahoma" w:hAnsi="Tahoma"/>
        <w:color w:val="3B3838"/>
        <w:sz w:val="18"/>
      </w:rPr>
      <w:t>6</w:t>
    </w:r>
    <w:r>
      <w:rPr>
        <w:rFonts w:eastAsia="Tahoma" w:cs="Tahoma" w:ascii="Tahoma" w:hAnsi="Tahoma"/>
        <w:color w:val="3B3838"/>
        <w:sz w:val="18"/>
      </w:rPr>
      <w:t>-</w:t>
    </w:r>
    <w:r>
      <w:rPr>
        <w:rFonts w:eastAsia="Tahoma" w:cs="Tahoma" w:ascii="Tahoma" w:hAnsi="Tahoma"/>
        <w:color w:val="3B3838"/>
        <w:sz w:val="18"/>
      </w:rPr>
      <w:t>24</w:t>
    </w:r>
  </w:p>
  <w:p>
    <w:pPr>
      <w:pStyle w:val="Normal"/>
      <w:spacing w:lineRule="auto" w:line="235" w:before="0" w:after="0"/>
      <w:ind w:hanging="0" w:left="0" w:right="2407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color w:val="3B3838"/>
          <w:sz w:val="18"/>
        </w:rPr>
        <w:t>CC BY-SA</w:t>
      </w:r>
    </w:hyperlink>
    <w:r>
      <w:rPr>
        <w:rFonts w:eastAsia="Tahoma" w:cs="Tahoma" w:ascii="Tahoma" w:hAnsi="Tahoma"/>
        <w:color w:val="3B3838"/>
        <w:sz w:val="18"/>
      </w:rPr>
      <w:t xml:space="preserve"> - màj 2025-0</w:t>
    </w:r>
    <w:r>
      <w:rPr>
        <w:rFonts w:eastAsia="Tahoma" w:cs="Tahoma" w:ascii="Tahoma" w:hAnsi="Tahoma"/>
        <w:color w:val="3B3838"/>
        <w:sz w:val="18"/>
      </w:rPr>
      <w:t>6</w:t>
    </w:r>
    <w:r>
      <w:rPr>
        <w:rFonts w:eastAsia="Tahoma" w:cs="Tahoma" w:ascii="Tahoma" w:hAnsi="Tahoma"/>
        <w:color w:val="3B3838"/>
        <w:sz w:val="18"/>
      </w:rPr>
      <w:t>-</w:t>
    </w:r>
    <w:r>
      <w:rPr>
        <w:rFonts w:eastAsia="Tahoma" w:cs="Tahoma" w:ascii="Tahoma" w:hAnsi="Tahoma"/>
        <w:color w:val="3B3838"/>
        <w:sz w:val="18"/>
      </w:rPr>
      <w:t>24</w:t>
    </w:r>
  </w:p>
  <w:p>
    <w:pPr>
      <w:pStyle w:val="Normal"/>
      <w:spacing w:lineRule="auto" w:line="235" w:before="0" w:after="0"/>
      <w:ind w:hanging="0" w:left="0" w:right="2407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66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84e"/>
    <w:pPr>
      <w:widowControl/>
      <w:suppressAutoHyphens w:val="true"/>
      <w:bidi w:val="0"/>
      <w:spacing w:lineRule="auto" w:line="240" w:before="0" w:after="120"/>
      <w:ind w:hanging="11" w:left="11"/>
      <w:jc w:val="both"/>
    </w:pPr>
    <w:rPr>
      <w:rFonts w:ascii="Corbel" w:hAnsi="Corbel" w:eastAsia="Times New Roman" w:cs="Times New Roman"/>
      <w:color w:val="000000"/>
      <w:kern w:val="0"/>
      <w:sz w:val="24"/>
      <w:szCs w:val="22"/>
      <w:lang w:val="fr-FR" w:eastAsia="fr-FR" w:bidi="ar-SA"/>
    </w:rPr>
  </w:style>
  <w:style w:type="paragraph" w:styleId="Heading1">
    <w:name w:val="heading 1"/>
    <w:next w:val="Normal"/>
    <w:link w:val="Titre1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7" w:before="0" w:after="240"/>
      <w:ind w:hanging="11" w:left="11"/>
      <w:jc w:val="left"/>
      <w:outlineLvl w:val="0"/>
    </w:pPr>
    <w:rPr>
      <w:rFonts w:ascii="Tahoma" w:hAnsi="Tahoma" w:eastAsia="Tahoma" w:cs="Tahoma"/>
      <w:color w:val="5B9BD5"/>
      <w:kern w:val="0"/>
      <w:sz w:val="36"/>
      <w:szCs w:val="22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0" w:before="240" w:after="240"/>
      <w:ind w:hanging="11" w:left="11"/>
      <w:jc w:val="left"/>
      <w:outlineLvl w:val="1"/>
    </w:pPr>
    <w:rPr>
      <w:rFonts w:ascii="Tahoma" w:hAnsi="Tahoma" w:eastAsia="Tahoma" w:cs="Tahoma"/>
      <w:color w:val="5B9BD5"/>
      <w:kern w:val="0"/>
      <w:sz w:val="32"/>
      <w:szCs w:val="22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rsid w:val="00375e0f"/>
    <w:pPr>
      <w:widowControl/>
      <w:suppressAutoHyphens w:val="true"/>
      <w:bidi w:val="0"/>
      <w:spacing w:lineRule="auto" w:line="240" w:before="0" w:after="180"/>
      <w:ind w:hanging="11" w:left="11"/>
      <w:jc w:val="left"/>
      <w:outlineLvl w:val="2"/>
    </w:pPr>
    <w:rPr>
      <w:rFonts w:ascii="Tahoma" w:hAnsi="Tahoma" w:eastAsia="Tahoma" w:cs="Tahoma"/>
      <w:color w:themeColor="accent2" w:val="ED7D31"/>
      <w:kern w:val="0"/>
      <w:sz w:val="28"/>
      <w:szCs w:val="24"/>
      <w:lang w:val="fr-FR" w:eastAsia="en-US" w:bidi="ar-SA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702785"/>
    <w:pPr>
      <w:keepNext w:val="true"/>
      <w:keepLines/>
      <w:spacing w:before="40" w:after="120"/>
      <w:outlineLvl w:val="3"/>
    </w:pPr>
    <w:rPr>
      <w:rFonts w:ascii="Tahoma" w:hAnsi="Tahoma" w:eastAsia="" w:cs="" w:cstheme="majorBidi" w:eastAsiaTheme="majorEastAsia"/>
      <w:iCs/>
      <w:color w:themeColor="accent2" w:val="ED7D3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uiPriority w:val="9"/>
    <w:qFormat/>
    <w:rsid w:val="00375e0f"/>
    <w:rPr>
      <w:rFonts w:ascii="Tahoma" w:hAnsi="Tahoma" w:eastAsia="Tahoma" w:cs="Tahoma"/>
      <w:color w:val="5B9BD5"/>
      <w:sz w:val="32"/>
    </w:rPr>
  </w:style>
  <w:style w:type="character" w:styleId="Titre1Car" w:customStyle="1">
    <w:name w:val="Titre 1 Car"/>
    <w:uiPriority w:val="9"/>
    <w:qFormat/>
    <w:rsid w:val="00375e0f"/>
    <w:rPr>
      <w:rFonts w:ascii="Tahoma" w:hAnsi="Tahoma" w:eastAsia="Tahoma" w:cs="Tahoma"/>
      <w:color w:val="5B9BD5"/>
      <w:sz w:val="36"/>
    </w:rPr>
  </w:style>
  <w:style w:type="character" w:styleId="Hyperlink">
    <w:name w:val="Hyperlink"/>
    <w:basedOn w:val="DefaultParagraphFont"/>
    <w:uiPriority w:val="99"/>
    <w:unhideWhenUsed/>
    <w:rsid w:val="00a17b83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2684e"/>
    <w:rPr>
      <w:rFonts w:eastAsia="Tahoma"/>
      <w:color w:val="0033CC"/>
      <w:u w:val="single"/>
    </w:rPr>
  </w:style>
  <w:style w:type="character" w:styleId="Strong">
    <w:name w:val="Strong"/>
    <w:basedOn w:val="DefaultParagraphFont"/>
    <w:uiPriority w:val="22"/>
    <w:qFormat/>
    <w:rsid w:val="00843ef8"/>
    <w:rPr>
      <w:b/>
      <w:bCs/>
    </w:rPr>
  </w:style>
  <w:style w:type="character" w:styleId="TitreCar" w:customStyle="1">
    <w:name w:val="Titre Car"/>
    <w:basedOn w:val="DefaultParagraphFont"/>
    <w:uiPriority w:val="10"/>
    <w:qFormat/>
    <w:rsid w:val="00ab59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d681b"/>
    <w:rPr>
      <w:i/>
      <w:iCs/>
      <w:color w:themeColor="accent1" w:val="5B9BD5"/>
    </w:rPr>
  </w:style>
  <w:style w:type="character" w:styleId="PieddepageCar" w:customStyle="1">
    <w:name w:val="Pied de page Car"/>
    <w:basedOn w:val="DefaultParagraphFont"/>
    <w:uiPriority w:val="99"/>
    <w:qFormat/>
    <w:rsid w:val="00f877b2"/>
    <w:rPr>
      <w:rFonts w:ascii="Times New Roman" w:hAnsi="Times New Roman" w:eastAsia="Times New Roman" w:cs="Times New Roman"/>
      <w:color w:val="000000"/>
      <w:sz w:val="24"/>
    </w:rPr>
  </w:style>
  <w:style w:type="character" w:styleId="marker" w:customStyle="1">
    <w:name w:val="marker"/>
    <w:basedOn w:val="DefaultParagraphFont"/>
    <w:qFormat/>
    <w:rsid w:val="00362923"/>
    <w:rPr/>
  </w:style>
  <w:style w:type="character" w:styleId="Titre3Car" w:customStyle="1">
    <w:name w:val="Titre 3 Car"/>
    <w:basedOn w:val="DefaultParagraphFont"/>
    <w:uiPriority w:val="9"/>
    <w:qFormat/>
    <w:rsid w:val="00375e0f"/>
    <w:rPr>
      <w:rFonts w:ascii="Tahoma" w:hAnsi="Tahoma" w:eastAsia="Tahoma" w:cs="Tahoma"/>
      <w:color w:themeColor="accent2" w:val="ED7D31"/>
      <w:sz w:val="28"/>
      <w:szCs w:val="24"/>
      <w:lang w:eastAsia="en-US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sid w:val="00fd1f8f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dc26a5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Caractresdenotedebasdepageuser">
    <w:name w:val="Caractères de note de bas de page (user)"/>
    <w:uiPriority w:val="99"/>
    <w:semiHidden/>
    <w:unhideWhenUsed/>
    <w:qFormat/>
    <w:rsid w:val="00dc26a5"/>
    <w:rPr>
      <w:vertAlign w:val="superscript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04b87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304b87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304b87"/>
    <w:rPr>
      <w:rFonts w:ascii="Times New Roman" w:hAnsi="Times New Roman" w:eastAsia="Times New Roman" w:cs="Times New Roman"/>
      <w:b/>
      <w:bCs/>
      <w:color w:val="000000"/>
      <w:sz w:val="20"/>
      <w:szCs w:val="20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04b87"/>
    <w:rPr>
      <w:rFonts w:ascii="Segoe UI" w:hAnsi="Segoe UI" w:eastAsia="Times New Roman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44a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4aa6"/>
    <w:rPr>
      <w:i/>
      <w:iCs/>
      <w:color w:themeColor="text1" w:themeTint="bf" w:val="404040"/>
    </w:rPr>
  </w:style>
  <w:style w:type="character" w:styleId="Titre4Car" w:customStyle="1">
    <w:name w:val="Titre 4 Car"/>
    <w:basedOn w:val="DefaultParagraphFont"/>
    <w:uiPriority w:val="9"/>
    <w:qFormat/>
    <w:rsid w:val="00702785"/>
    <w:rPr>
      <w:rFonts w:ascii="Tahoma" w:hAnsi="Tahoma" w:eastAsia="" w:cs="" w:cstheme="majorBidi" w:eastAsiaTheme="majorEastAsia"/>
      <w:iCs/>
      <w:color w:themeColor="accent2" w:val="ED7D31"/>
      <w:sz w:val="24"/>
    </w:rPr>
  </w:style>
  <w:style w:type="character" w:styleId="BookTitle">
    <w:name w:val="Book Title"/>
    <w:basedOn w:val="DefaultParagraphFont"/>
    <w:uiPriority w:val="33"/>
    <w:qFormat/>
    <w:rsid w:val="00183dfc"/>
    <w:rPr>
      <w:b/>
      <w:bCs/>
      <w:i/>
      <w:iCs/>
      <w:spacing w:val="5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87438f"/>
    <w:rPr>
      <w:rFonts w:ascii="Corbel" w:hAnsi="Corbel" w:eastAsia="Times New Roman" w:cs="Times New Roman"/>
      <w:i/>
      <w:iCs/>
      <w:color w:themeColor="text1" w:themeTint="bf" w:val="404040"/>
      <w:sz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205eb"/>
    <w:rPr>
      <w:color w:val="605E5C"/>
      <w:shd w:fill="E1DFDD" w:val="clear"/>
    </w:rPr>
  </w:style>
  <w:style w:type="character" w:styleId="En-tteCar" w:customStyle="1">
    <w:name w:val="En-tête Car"/>
    <w:basedOn w:val="DefaultParagraphFont"/>
    <w:uiPriority w:val="99"/>
    <w:semiHidden/>
    <w:qFormat/>
    <w:rsid w:val="00c450f0"/>
    <w:rPr>
      <w:rFonts w:ascii="Corbel" w:hAnsi="Corbel" w:eastAsia="Times New Roman" w:cs="Times New Roman"/>
      <w:color w:val="000000"/>
      <w:sz w:val="24"/>
    </w:rPr>
  </w:style>
  <w:style w:type="character" w:styleId="Sautdindexuser">
    <w:name w:val="Saut d'index (user)"/>
    <w:qFormat/>
    <w:rPr/>
  </w:style>
  <w:style w:type="character" w:styleId="Caractresdenotedefinuser">
    <w:name w:val="Caractères de note de fin (user)"/>
    <w:qFormat/>
    <w:rPr>
      <w:vertAlign w:val="superscript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ucesuser">
    <w:name w:val="Puces (user)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ab595c"/>
    <w:pPr>
      <w:spacing w:before="0" w:after="200"/>
      <w:ind w:hanging="0" w:left="0"/>
      <w:jc w:val="left"/>
    </w:pPr>
    <w:rPr>
      <w:rFonts w:eastAsia="Calibri" w:cs="" w:cstheme="minorBidi" w:eastAsiaTheme="minorHAnsi"/>
      <w:i/>
      <w:iCs/>
      <w:color w:themeColor="text2" w:val="44546A"/>
      <w:sz w:val="18"/>
      <w:szCs w:val="18"/>
      <w:lang w:eastAsia="en-US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12006c"/>
    <w:pPr>
      <w:spacing w:before="0" w:after="12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184e67"/>
    <w:pPr>
      <w:tabs>
        <w:tab w:val="clear" w:pos="708"/>
        <w:tab w:val="right" w:pos="9062" w:leader="dot"/>
      </w:tabs>
      <w:spacing w:before="0" w:after="100"/>
      <w:ind w:left="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95c"/>
    <w:pPr>
      <w:spacing w:lineRule="auto" w:line="247" w:before="240" w:after="0"/>
      <w:ind w:hanging="10" w:left="10" w:right="2"/>
      <w:jc w:val="both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Title">
    <w:name w:val="Title"/>
    <w:basedOn w:val="Normal"/>
    <w:next w:val="Normal"/>
    <w:link w:val="TitreCar"/>
    <w:uiPriority w:val="10"/>
    <w:qFormat/>
    <w:rsid w:val="00ab595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StyleCorbelAutomatiqueGaucheGauche0cmPremireligne" w:customStyle="1">
    <w:name w:val="Style Corbel Automatique Gauche Gauche :  0 cm Première ligne :..."/>
    <w:basedOn w:val="Normal"/>
    <w:qFormat/>
    <w:rsid w:val="007773c6"/>
    <w:pPr>
      <w:spacing w:lineRule="auto" w:line="259"/>
      <w:ind w:hanging="0" w:left="0"/>
      <w:jc w:val="left"/>
    </w:pPr>
    <w:rPr>
      <w:color w:val="auto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73766"/>
    <w:pPr>
      <w:spacing w:before="0" w:after="100"/>
      <w:ind w:left="240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En-tteetpieddepageuser">
    <w:name w:val="En-tête et pied de page (user)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f877b2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37787"/>
    <w:pPr>
      <w:spacing w:beforeAutospacing="1" w:afterAutospacing="1"/>
      <w:ind w:hanging="0" w:left="0"/>
      <w:jc w:val="left"/>
    </w:pPr>
    <w:rPr>
      <w:color w:val="auto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42f"/>
    <w:pPr>
      <w:spacing w:before="0" w:after="100"/>
      <w:ind w:left="480"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dc26a5"/>
    <w:pPr>
      <w:spacing w:before="0" w:after="0"/>
    </w:pPr>
    <w:rPr>
      <w:sz w:val="20"/>
      <w:szCs w:val="20"/>
    </w:rPr>
  </w:style>
  <w:style w:type="paragraph" w:styleId="CommentText">
    <w:name w:val="annotation text"/>
    <w:basedOn w:val="Normal"/>
    <w:link w:val="CommentaireCar"/>
    <w:uiPriority w:val="99"/>
    <w:semiHidden/>
    <w:unhideWhenUsed/>
    <w:rsid w:val="00304b87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ObjetducommentaireCar"/>
    <w:uiPriority w:val="99"/>
    <w:semiHidden/>
    <w:unhideWhenUsed/>
    <w:qFormat/>
    <w:rsid w:val="00304b87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04b87"/>
    <w:pPr>
      <w:spacing w:before="0" w:after="0"/>
    </w:pPr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CitationCar"/>
    <w:uiPriority w:val="29"/>
    <w:qFormat/>
    <w:rsid w:val="0087438f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Header">
    <w:name w:val="header"/>
    <w:basedOn w:val="Normal"/>
    <w:link w:val="En-tteCar"/>
    <w:uiPriority w:val="99"/>
    <w:semiHidden/>
    <w:unhideWhenUsed/>
    <w:rsid w:val="00c450f0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En-ttegauche">
    <w:name w:val="En-tête gauche"/>
    <w:basedOn w:val="Header"/>
    <w:qFormat/>
    <w:pPr/>
    <w:rPr/>
  </w:style>
  <w:style w:type="paragraph" w:styleId="Commentaire">
    <w:name w:val="Commentaire"/>
    <w:basedOn w:val="Normal"/>
    <w:qFormat/>
    <w:pPr>
      <w:spacing w:before="56" w:after="0"/>
      <w:ind w:left="56" w:right="56"/>
    </w:pPr>
    <w:rPr>
      <w:sz w:val="20"/>
      <w:szCs w:val="20"/>
    </w:rPr>
  </w:style>
  <w:style w:type="paragraph" w:styleId="Contenudecadreuser">
    <w:name w:val="Contenu de cadre (user)"/>
    <w:basedOn w:val="Normal"/>
    <w:qFormat/>
    <w:pPr/>
    <w:rPr/>
  </w:style>
  <w:style w:type="numbering" w:styleId="Pasdelisteuser" w:default="1">
    <w:name w:val="Pas de liste (user)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17b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5">
    <w:name w:val="Grid Table 4 Accent 5"/>
    <w:basedOn w:val="TableauNormal"/>
    <w:uiPriority w:val="49"/>
    <w:rsid w:val="00091c61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35bf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github.com/fflamerie/intro_revlit/blob/main/docs/Typologie_RevLit_full.pdf" TargetMode="External"/><Relationship Id="rId9" Type="http://schemas.openxmlformats.org/officeDocument/2006/relationships/hyperlink" Target="https://bib.umontreal.ca/evaluer-analyser-rediger/syntheses-connaissances/revue-litterature-recension-ecrits" TargetMode="External"/><Relationship Id="rId10" Type="http://schemas.openxmlformats.org/officeDocument/2006/relationships/hyperlink" Target="https://bib.umontreal.ca/evaluer-analyser-rediger/syntheses-connaissances/rediger-revue-systematique" TargetMode="External"/><Relationship Id="rId11" Type="http://schemas.openxmlformats.org/officeDocument/2006/relationships/hyperlink" Target="https://doi.org/10.18060/28463" TargetMode="External"/><Relationship Id="rId12" Type="http://schemas.openxmlformats.org/officeDocument/2006/relationships/hyperlink" Target="https://bib.umontreal.ca/evaluer-analyser-rediger/syntheses-connaissances" TargetMode="External"/><Relationship Id="rId13" Type="http://schemas.openxmlformats.org/officeDocument/2006/relationships/hyperlink" Target="https://guides.lib.unc.edu/systematic-reviews" TargetMode="External"/><Relationship Id="rId14" Type="http://schemas.openxmlformats.org/officeDocument/2006/relationships/hyperlink" Target="https://doi.org/10.1016/j.admp.2021.03.004" TargetMode="External"/><Relationship Id="rId15" Type="http://schemas.openxmlformats.org/officeDocument/2006/relationships/hyperlink" Target="https://doi.org/10.1177/14034948221074998" TargetMode="Externa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oter" Target="footer4.xml"/><Relationship Id="rId20" Type="http://schemas.openxmlformats.org/officeDocument/2006/relationships/footer" Target="footer5.xml"/><Relationship Id="rId21" Type="http://schemas.openxmlformats.org/officeDocument/2006/relationships/footer" Target="footer6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1.jpeg"/><Relationship Id="rId4" Type="http://schemas.openxmlformats.org/officeDocument/2006/relationships/image" Target="media/image2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77AE-6CCD-4CDC-850E-AD5EB4AA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LibreOffice/25.2.4.3$Windows_X86_64 LibreOffice_project/33e196637044ead23f5c3226cde09b47731f7e27</Application>
  <AppVersion>15.0000</AppVersion>
  <Pages>2</Pages>
  <Words>488</Words>
  <Characters>2910</Characters>
  <CharactersWithSpaces>3364</CharactersWithSpaces>
  <Paragraphs>46</Paragraphs>
  <Company>Direction de la Documentation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2023-03-29T08:03:00Z</dcterms:created>
  <dc:creator>Frédérique Flamerie</dc:creator>
  <dc:description/>
  <dc:language>fr-FR</dc:language>
  <cp:lastModifiedBy/>
  <cp:lastPrinted>2025-04-03T10:39:38Z</cp:lastPrinted>
  <dcterms:modified xsi:type="dcterms:W3CDTF">2025-06-24T17:15:29Z</dcterms:modified>
  <cp:revision>26</cp:revision>
  <dc:subject/>
  <dc:title>Revue de littérature en santé : focus bibliographique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