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r>
        <w:rPr>
          <w:rFonts w:cs="Tahoma" w:ascii="Tahoma" w:hAnsi="Tahoma"/>
          <w:lang w:eastAsia="en-US"/>
        </w:rPr>
      </w:r>
    </w:p>
    <w:p>
      <w:pPr>
        <w:pStyle w:val="Heading2"/>
        <w:rPr>
          <w:lang w:eastAsia="en-US"/>
        </w:rPr>
      </w:pPr>
      <w:bookmarkStart w:id="0" w:name="_Toc166661511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4" wp14:anchorId="013E64D8">
                <wp:simplePos x="0" y="0"/>
                <wp:positionH relativeFrom="margin">
                  <wp:posOffset>9176385</wp:posOffset>
                </wp:positionH>
                <wp:positionV relativeFrom="paragraph">
                  <wp:posOffset>931545</wp:posOffset>
                </wp:positionV>
                <wp:extent cx="1020445" cy="1148080"/>
                <wp:effectExtent l="0" t="0" r="0" b="0"/>
                <wp:wrapNone/>
                <wp:docPr id="13" name="Zon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00" cy="114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hanging="11" w:left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Méthodes standardisées</w:t>
                            </w:r>
                          </w:p>
                          <w:p>
                            <w:pPr>
                              <w:pStyle w:val="Contenudecadre"/>
                              <w:ind w:hanging="11" w:left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Moyens humains et temps</w:t>
                            </w:r>
                          </w:p>
                          <w:p>
                            <w:pPr>
                              <w:pStyle w:val="Contenudecadre"/>
                              <w:spacing w:before="0" w:after="120"/>
                              <w:ind w:hanging="11" w:lef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" path="m0,0l-2147483645,0l-2147483645,-2147483646l0,-2147483646xe" stroked="f" o:allowincell="f" style="position:absolute;margin-left:722.55pt;margin-top:73.35pt;width:80.3pt;height:90.35pt;mso-wrap-style:square;v-text-anchor:top;mso-position-horizontal-relative:margin" wp14:anchorId="013E64D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ind w:hanging="11" w:left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Méthodes standardisées</w:t>
                      </w:r>
                    </w:p>
                    <w:p>
                      <w:pPr>
                        <w:pStyle w:val="Contenudecadre"/>
                        <w:ind w:hanging="11" w:left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Moyens humains et temps</w:t>
                      </w:r>
                    </w:p>
                    <w:p>
                      <w:pPr>
                        <w:pStyle w:val="Contenudecadre"/>
                        <w:spacing w:before="0" w:after="120"/>
                        <w:ind w:hanging="11" w:lef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eastAsia="en-US"/>
        </w:rPr>
        <w:t xml:space="preserve">Les principaux types de revue de littérature - </w:t>
      </w:r>
      <w:r>
        <w:rPr>
          <w:lang w:eastAsia="en-US"/>
        </w:rPr>
        <w:t>version complète</w:t>
      </w:r>
    </w:p>
    <w:tbl>
      <w:tblPr>
        <w:tblStyle w:val="TableauGrille4-Accentuation1"/>
        <w:tblW w:w="14280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6656"/>
        <w:gridCol w:w="52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mc:AlternateContent>
                <mc:Choice Requires="wps">
                  <w:drawing>
                    <wp:anchor behindDoc="0" distT="635" distB="635" distL="635" distR="635" simplePos="0" locked="0" layoutInCell="1" allowOverlap="1" relativeHeight="3" wp14:anchorId="491C074A">
                      <wp:simplePos x="0" y="0"/>
                      <wp:positionH relativeFrom="column">
                        <wp:posOffset>7525385</wp:posOffset>
                      </wp:positionH>
                      <wp:positionV relativeFrom="paragraph">
                        <wp:posOffset>1906905</wp:posOffset>
                      </wp:positionV>
                      <wp:extent cx="4244340" cy="886460"/>
                      <wp:effectExtent l="635" t="635" r="635" b="635"/>
                      <wp:wrapNone/>
                      <wp:docPr id="14" name="Flèche : pentago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44400" cy="8863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3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39000">
                                    <a:schemeClr val="accent1">
                                      <a:lumMod val="75000"/>
                                    </a:schemeClr>
                                  </a:gs>
                                  <a:gs pos="63000">
                                    <a:schemeClr val="accent1">
                                      <a:lumMod val="50000"/>
                                    </a:schemeClr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ID="Flèche : pentagone 5" path="m0,0l-2147483639,0l-2147483633,-2147483635l-2147483639,-2147483634l0,-2147483634xe" fillcolor="#1f4e79" stroked="f" o:allowincell="t" style="position:absolute;margin-left:592.55pt;margin-top:150.15pt;width:334.15pt;height:69.75pt;mso-wrap-style:none;v-text-anchor:middle;rotation:90" wp14:anchorId="491C074A" type="_x0000_t15">
                      <v:fill o:detectmouseclick="t" color2="#f7fafd"/>
                      <v:stroke color="#3465a4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Type de revue</w:t>
            </w:r>
          </w:p>
        </w:tc>
        <w:tc>
          <w:tcPr>
            <w:tcW w:w="66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Définition et objectifs</w:t>
            </w:r>
          </w:p>
        </w:tc>
        <w:tc>
          <w:tcPr>
            <w:tcW w:w="5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Points d’attention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de littérature/revue narrative 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Literature/Narrative Review</w:t>
            </w:r>
          </w:p>
        </w:tc>
        <w:tc>
          <w:tcPr>
            <w:tcW w:w="66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 xml:space="preserve">Désigne de façon générique une synthèse d'assez large envergure, menée selon une </w:t>
            </w:r>
            <w:r>
              <w:rPr>
                <w:b/>
                <w:spacing w:val="6"/>
                <w:kern w:val="0"/>
                <w:sz w:val="18"/>
                <w:szCs w:val="18"/>
                <w:lang w:val="fr-FR" w:eastAsia="fr-FR" w:bidi="ar-SA"/>
              </w:rPr>
              <w:t>méthodologie non standardisée</w:t>
            </w: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Avoir une vue générale sur un sujet, pour soulever des problèmes habituellement négligés et encourager d'autres recherches sur ce sujet.</w:t>
            </w:r>
          </w:p>
        </w:tc>
        <w:tc>
          <w:tcPr>
            <w:tcW w:w="522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Les stratégies de recherche, l'exhaustivité et la période couverte peuvent varier et ne suivent pas un protocole défini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Peut être menée par 1 ou 2 personnes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systématisée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Systematized Review</w:t>
            </w:r>
          </w:p>
        </w:tc>
        <w:tc>
          <w:tcPr>
            <w:tcW w:w="66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Recourt à certains éléments du processus de revue systématique, tels que la formalisation et l’application de critères d’inclusion et d’exclusion.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Peut être menée comme </w:t>
            </w:r>
            <w:r>
              <w:rPr>
                <w:b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devoir étudiant </w:t>
            </w: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ou dans le cadre d’une </w:t>
            </w:r>
            <w:r>
              <w:rPr>
                <w:b/>
                <w:color w:val="auto"/>
                <w:kern w:val="0"/>
                <w:sz w:val="18"/>
                <w:szCs w:val="18"/>
                <w:lang w:val="fr-FR" w:eastAsia="fr-FR" w:bidi="ar-SA"/>
              </w:rPr>
              <w:t>thèse</w:t>
            </w: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Les stratégies de recherche, l'exhaustivité et la période couverte peuvent varier et ne suivent pas un protocole défini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Peut être menée par 1 ou 2 personnes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 w:val="false"/>
                <w:bCs w:val="false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  <w:lang w:val="fr-FR" w:eastAsia="fr-FR" w:bidi="ar-SA"/>
              </w:rPr>
              <w:t>Revue rapide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 w:val="false"/>
                <w:bCs w:val="false"/>
                <w:sz w:val="18"/>
                <w:szCs w:val="18"/>
              </w:rPr>
            </w:pPr>
            <w:r>
              <w:rPr>
                <w:b/>
                <w:bCs/>
                <w:i/>
                <w:kern w:val="0"/>
                <w:sz w:val="18"/>
                <w:szCs w:val="18"/>
                <w:lang w:val="fr-FR" w:eastAsia="fr-FR" w:bidi="ar-SA"/>
              </w:rPr>
              <w:t>Rapid Review</w:t>
            </w:r>
          </w:p>
        </w:tc>
        <w:tc>
          <w:tcPr>
            <w:tcW w:w="66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7"/>
                <w:sz w:val="18"/>
                <w:szCs w:val="18"/>
              </w:rPr>
            </w:pPr>
            <w:r>
              <w:rPr>
                <w:spacing w:val="7"/>
                <w:kern w:val="0"/>
                <w:sz w:val="18"/>
                <w:szCs w:val="18"/>
                <w:lang w:val="fr-FR" w:eastAsia="fr-FR" w:bidi="ar-SA"/>
              </w:rPr>
              <w:t>Applique la méthodologie de la revue systématique dans un contexte de contrainte de temps.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spacing w:val="10"/>
                <w:kern w:val="0"/>
                <w:sz w:val="18"/>
                <w:szCs w:val="18"/>
                <w:lang w:val="fr-FR" w:eastAsia="fr-FR" w:bidi="ar-SA"/>
              </w:rPr>
              <w:t>Utile pour la compréhension d'enjeux requérant des décisions rapides.</w:t>
            </w:r>
          </w:p>
        </w:tc>
        <w:tc>
          <w:tcPr>
            <w:tcW w:w="522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18"/>
                <w:szCs w:val="18"/>
              </w:rPr>
            </w:pPr>
            <w:r>
              <w:rPr>
                <w:spacing w:val="4"/>
                <w:kern w:val="0"/>
                <w:sz w:val="18"/>
                <w:szCs w:val="18"/>
                <w:lang w:val="fr-FR" w:eastAsia="fr-FR" w:bidi="ar-SA"/>
              </w:rPr>
              <w:t xml:space="preserve">Utilise des raccourcis méthodologiques (par exemple, limiter les termes de recherche ou exclure la littérature grise), au risque d'introduire des </w:t>
            </w:r>
            <w:r>
              <w:rPr>
                <w:kern w:val="0"/>
                <w:sz w:val="18"/>
                <w:szCs w:val="18"/>
                <w:lang w:val="fr-FR" w:eastAsia="fr-FR" w:bidi="ar-SA"/>
              </w:rPr>
              <w:t>biais.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Etude de la portée ou carte systématique </w:t>
            </w:r>
            <w:r>
              <w:rPr>
                <w:b/>
                <w:bCs/>
                <w:kern w:val="0"/>
                <w:sz w:val="18"/>
                <w:szCs w:val="18"/>
                <w:lang w:val="fr-FR" w:eastAsia="fr-FR" w:bidi="ar-SA"/>
              </w:rPr>
              <w:t>**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en-US" w:eastAsia="fr-FR" w:bidi="ar-SA"/>
              </w:rPr>
              <w:t>Scoping Review  or Evidence Map</w:t>
            </w:r>
          </w:p>
        </w:tc>
        <w:tc>
          <w:tcPr>
            <w:tcW w:w="66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 w:right="1008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18"/>
                <w:szCs w:val="18"/>
              </w:rPr>
            </w:pP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Applique la méthodologie de la revue systématique pour un </w:t>
            </w:r>
            <w:r>
              <w:rPr>
                <w:b/>
                <w:spacing w:val="2"/>
                <w:kern w:val="0"/>
                <w:sz w:val="18"/>
                <w:szCs w:val="18"/>
                <w:lang w:val="fr-FR" w:eastAsia="fr-FR" w:bidi="ar-SA"/>
              </w:rPr>
              <w:t>sujet général</w:t>
            </w: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 ou un </w:t>
            </w:r>
            <w:r>
              <w:rPr>
                <w:b/>
                <w:spacing w:val="6"/>
                <w:kern w:val="0"/>
                <w:sz w:val="18"/>
                <w:szCs w:val="18"/>
                <w:lang w:val="fr-FR" w:eastAsia="fr-FR" w:bidi="ar-SA"/>
              </w:rPr>
              <w:t>ensemble de questions de recherche</w:t>
            </w: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9"/>
                <w:sz w:val="18"/>
                <w:szCs w:val="18"/>
              </w:rPr>
            </w:pPr>
            <w:r>
              <w:rPr>
                <w:spacing w:val="9"/>
                <w:kern w:val="0"/>
                <w:sz w:val="18"/>
                <w:szCs w:val="18"/>
                <w:lang w:val="fr-FR" w:eastAsia="fr-FR" w:bidi="ar-SA"/>
              </w:rPr>
              <w:t>Identifier des écarts de savoirs et des opportunités de synthèse de données probantes.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kern w:val="0"/>
                <w:sz w:val="18"/>
                <w:szCs w:val="18"/>
                <w:lang w:val="fr-FR" w:eastAsia="fr-FR" w:bidi="ar-SA"/>
              </w:rPr>
              <w:t>Question de recherche large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Peut évaluer de manière critique des données existantes, mais ne tente pas de synthétiser les résultats comme 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>une revue systématique le ferait.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systématique ***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Systematic</w:t>
            </w: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 </w:t>
            </w: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Review</w:t>
            </w:r>
          </w:p>
        </w:tc>
        <w:tc>
          <w:tcPr>
            <w:tcW w:w="66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18"/>
                <w:szCs w:val="18"/>
              </w:rPr>
            </w:pP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Suit une méthodologie très rigoureuse et reproductible, minimisant les biais, pour produire une </w:t>
            </w:r>
            <w:r>
              <w:rPr>
                <w:b/>
                <w:spacing w:val="5"/>
                <w:kern w:val="0"/>
                <w:sz w:val="18"/>
                <w:szCs w:val="18"/>
                <w:lang w:val="fr-FR" w:eastAsia="fr-FR" w:bidi="ar-SA"/>
              </w:rPr>
              <w:t>synthèse exhaustive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 de la littérature.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 w:right="7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3"/>
                <w:sz w:val="18"/>
                <w:szCs w:val="18"/>
              </w:rPr>
            </w:pP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Repérer et synthétiser </w:t>
            </w:r>
            <w:r>
              <w:rPr>
                <w:spacing w:val="-7"/>
                <w:kern w:val="0"/>
                <w:sz w:val="18"/>
                <w:szCs w:val="18"/>
                <w:lang w:val="fr-FR" w:eastAsia="fr-FR" w:bidi="ar-SA"/>
              </w:rPr>
              <w:t xml:space="preserve">toute </w:t>
            </w: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la recherche savante sur un sujet en particulier, incluant les études publiées ou </w:t>
            </w:r>
            <w:r>
              <w:rPr>
                <w:kern w:val="0"/>
                <w:sz w:val="18"/>
                <w:szCs w:val="18"/>
                <w:lang w:val="fr-FR" w:eastAsia="fr-FR" w:bidi="ar-SA"/>
              </w:rPr>
              <w:t>non.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0" w:right="7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6"/>
                <w:sz w:val="18"/>
                <w:szCs w:val="18"/>
              </w:rPr>
            </w:pP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 xml:space="preserve">Produire des données probantes pour la production de politiques 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>et pour identifier des écarts de savoirs.</w:t>
            </w:r>
          </w:p>
        </w:tc>
        <w:tc>
          <w:tcPr>
            <w:tcW w:w="522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kern w:val="0"/>
                <w:sz w:val="18"/>
                <w:szCs w:val="18"/>
                <w:lang w:val="fr-FR" w:eastAsia="fr-FR" w:bidi="ar-SA"/>
              </w:rPr>
              <w:t>Question de recherche précise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4"/>
                <w:kern w:val="0"/>
                <w:sz w:val="18"/>
                <w:szCs w:val="18"/>
                <w:lang w:val="fr-FR" w:eastAsia="fr-FR" w:bidi="ar-SA"/>
              </w:rPr>
              <w:t>Peut inclure une méta-analyse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8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générale</w:t>
            </w:r>
          </w:p>
          <w:p>
            <w:pPr>
              <w:pStyle w:val="Normal"/>
              <w:widowControl/>
              <w:suppressAutoHyphens w:val="true"/>
              <w:spacing w:before="0" w:after="180"/>
              <w:ind w:hanging="0" w:left="0"/>
              <w:jc w:val="left"/>
              <w:rPr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Umbrella</w:t>
            </w: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 </w:t>
            </w: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Review</w:t>
            </w:r>
          </w:p>
        </w:tc>
        <w:tc>
          <w:tcPr>
            <w:tcW w:w="66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8"/>
                <w:sz w:val="18"/>
                <w:szCs w:val="18"/>
              </w:rPr>
            </w:pP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Applique la méthodologie de la revue systématique pour effectuer la </w:t>
            </w:r>
            <w:r>
              <w:rPr>
                <w:b/>
                <w:spacing w:val="5"/>
                <w:kern w:val="0"/>
                <w:sz w:val="18"/>
                <w:szCs w:val="18"/>
                <w:lang w:val="fr-FR" w:eastAsia="fr-FR" w:bidi="ar-SA"/>
              </w:rPr>
              <w:t>synthèse des revues systématiques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 sur un sujet</w:t>
            </w:r>
            <w:r>
              <w:rPr>
                <w:spacing w:val="8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9"/>
                <w:sz w:val="18"/>
                <w:szCs w:val="18"/>
              </w:rPr>
            </w:pPr>
            <w:r>
              <w:rPr>
                <w:spacing w:val="9"/>
                <w:kern w:val="0"/>
                <w:sz w:val="18"/>
                <w:szCs w:val="18"/>
                <w:lang w:val="fr-FR" w:eastAsia="fr-FR" w:bidi="ar-SA"/>
              </w:rPr>
              <w:t>Surtout utile lorsque des interventions concurrentes sont à considérer.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Question de recherche large</w:t>
            </w:r>
          </w:p>
        </w:tc>
      </w:tr>
    </w:tbl>
    <w:p>
      <w:pPr>
        <w:pStyle w:val="Normal"/>
        <w:spacing w:before="120" w:after="0"/>
        <w:ind w:hanging="0" w:left="0"/>
        <w:contextualSpacing/>
        <w:jc w:val="left"/>
        <w:rPr>
          <w:rStyle w:val="Hyperlink"/>
          <w:i/>
          <w:i/>
          <w:sz w:val="18"/>
          <w:szCs w:val="18"/>
        </w:rPr>
      </w:pPr>
      <w:r>
        <w:rPr>
          <w:rFonts w:eastAsia="Calibri" w:eastAsiaTheme="minorHAnsi"/>
          <w:i/>
          <w:sz w:val="18"/>
          <w:szCs w:val="18"/>
          <w:lang w:eastAsia="en-US"/>
        </w:rPr>
        <w:t xml:space="preserve">*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8">
        <w:r>
          <w:rPr>
            <w:rStyle w:val="Hyperlink"/>
            <w:i/>
            <w:sz w:val="18"/>
            <w:szCs w:val="18"/>
          </w:rPr>
          <w:t>Réaliser une revue de littérature</w:t>
        </w:r>
      </w:hyperlink>
      <w:r>
        <w:rPr>
          <w:rFonts w:eastAsia="Calibri" w:eastAsiaTheme="minorHAnsi"/>
          <w:i/>
          <w:sz w:val="18"/>
          <w:szCs w:val="18"/>
          <w:lang w:eastAsia="en-US"/>
        </w:rPr>
        <w:t xml:space="preserve"> - **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9">
        <w:r>
          <w:rPr>
            <w:rStyle w:val="Hyperlink"/>
            <w:rFonts w:eastAsia="Tahoma"/>
            <w:i/>
            <w:sz w:val="18"/>
            <w:szCs w:val="18"/>
          </w:rPr>
          <w:t>Examen de la portée (Scoping Review)</w:t>
        </w:r>
      </w:hyperlink>
      <w:r>
        <w:rPr>
          <w:rFonts w:eastAsia="Calibri" w:eastAsiaTheme="minorHAnsi"/>
          <w:i/>
          <w:sz w:val="18"/>
          <w:szCs w:val="18"/>
          <w:lang w:eastAsia="en-US"/>
        </w:rPr>
        <w:t xml:space="preserve"> - *** 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10">
        <w:r>
          <w:rPr>
            <w:rStyle w:val="Hyperlink"/>
            <w:rFonts w:eastAsia="Tahoma"/>
            <w:i/>
            <w:sz w:val="18"/>
            <w:szCs w:val="18"/>
          </w:rPr>
          <w:t>Rédiger une revue systématique</w:t>
        </w:r>
      </w:hyperlink>
    </w:p>
    <w:p>
      <w:pPr>
        <w:pStyle w:val="Normal"/>
        <w:spacing w:before="240" w:after="0"/>
        <w:ind w:hanging="0" w:left="0"/>
        <w:jc w:val="left"/>
        <w:rPr>
          <w:sz w:val="18"/>
          <w:szCs w:val="18"/>
        </w:rPr>
      </w:pPr>
      <w:r>
        <w:rPr>
          <w:rFonts w:eastAsia="Calibri" w:eastAsiaTheme="minorHAnsi"/>
          <w:sz w:val="18"/>
          <w:szCs w:val="18"/>
          <w:lang w:eastAsia="en-US"/>
        </w:rPr>
        <w:t xml:space="preserve">Traduit et adapté de : </w:t>
      </w:r>
    </w:p>
    <w:p>
      <w:pPr>
        <w:pStyle w:val="Normal"/>
        <w:spacing w:before="0" w:after="0"/>
        <w:ind w:firstLine="284" w:left="0"/>
        <w:jc w:val="left"/>
        <w:rPr/>
      </w:pPr>
      <w:r>
        <w:rPr>
          <w:sz w:val="18"/>
          <w:szCs w:val="18"/>
        </w:rPr>
        <w:tab/>
        <w:t xml:space="preserve">Université de Montréal - Bibliothèques. </w:t>
      </w:r>
      <w:r>
        <w:rPr>
          <w:i/>
          <w:iCs/>
          <w:sz w:val="18"/>
          <w:szCs w:val="18"/>
        </w:rPr>
        <w:t>Quel type de synthèse des connaissances vous convient?</w:t>
      </w:r>
      <w:r>
        <w:rPr>
          <w:sz w:val="18"/>
          <w:szCs w:val="18"/>
        </w:rPr>
        <w:t xml:space="preserve"> </w:t>
      </w:r>
      <w:hyperlink r:id="rId11">
        <w:r>
          <w:rPr>
            <w:rStyle w:val="Hyperlink"/>
            <w:rFonts w:eastAsia="Tahoma"/>
            <w:sz w:val="18"/>
            <w:szCs w:val="18"/>
          </w:rPr>
          <w:t>https://bib.umontreal.ca/evaluer-analyser-rediger/syntheses-connaissances</w:t>
        </w:r>
      </w:hyperlink>
      <w:r>
        <w:rPr>
          <w:sz w:val="18"/>
          <w:szCs w:val="18"/>
        </w:rPr>
        <w:t xml:space="preserve"> </w:t>
      </w:r>
    </w:p>
    <w:p>
      <w:pPr>
        <w:pStyle w:val="Normal"/>
        <w:spacing w:before="0" w:after="0"/>
        <w:ind w:firstLine="284" w:left="0"/>
        <w:jc w:val="left"/>
        <w:rPr/>
      </w:pPr>
      <w:r>
        <w:rPr>
          <w:sz w:val="18"/>
          <w:szCs w:val="18"/>
        </w:rPr>
        <w:tab/>
        <w:t xml:space="preserve">University of North Carolina - Health Sciences Library. </w:t>
      </w:r>
      <w:r>
        <w:rPr>
          <w:i/>
          <w:iCs/>
          <w:sz w:val="18"/>
          <w:szCs w:val="18"/>
          <w:lang w:val="en-US"/>
        </w:rPr>
        <w:t>Systematic Reviews</w:t>
      </w:r>
      <w:r>
        <w:rPr>
          <w:sz w:val="18"/>
          <w:szCs w:val="18"/>
          <w:lang w:val="en-US"/>
        </w:rPr>
        <w:t xml:space="preserve">. </w:t>
      </w:r>
      <w:hyperlink r:id="rId12">
        <w:r>
          <w:rPr>
            <w:rStyle w:val="Hyperlink"/>
            <w:rFonts w:eastAsia="Tahoma"/>
            <w:sz w:val="18"/>
            <w:szCs w:val="18"/>
          </w:rPr>
          <w:t>https://guides.lib.unc.edu/systematic-reviews</w:t>
        </w:r>
      </w:hyperlink>
    </w:p>
    <w:p>
      <w:pPr>
        <w:pStyle w:val="Normal"/>
        <w:spacing w:before="0" w:after="0"/>
        <w:ind w:hanging="0" w:left="0"/>
        <w:contextualSpacing/>
        <w:jc w:val="left"/>
        <w:rPr>
          <w:sz w:val="18"/>
          <w:szCs w:val="18"/>
        </w:rPr>
      </w:pPr>
      <w:r>
        <w:rPr>
          <w:rFonts w:eastAsia="Calibri" w:cs="" w:cstheme="minorBidi" w:eastAsiaTheme="minorHAnsi"/>
          <w:color w:val="auto"/>
          <w:sz w:val="18"/>
          <w:szCs w:val="18"/>
          <w:lang w:eastAsia="en-US"/>
        </w:rPr>
        <w:t>Présentation complète des caractéristiques de chaque type de revue et exemples de chacun d’eux :</w:t>
      </w:r>
    </w:p>
    <w:p>
      <w:pPr>
        <w:pStyle w:val="Normal"/>
        <w:spacing w:before="0" w:after="0"/>
        <w:ind w:hanging="0" w:left="0"/>
        <w:contextualSpacing/>
        <w:jc w:val="left"/>
        <w:rPr/>
      </w:pPr>
      <w:r>
        <w:rPr>
          <w:sz w:val="18"/>
          <w:szCs w:val="18"/>
        </w:rPr>
        <w:tab/>
        <w:t>Nambiema, A., Fouquet, J., Guilloteau, J., &amp; Descatha, A. (2021). La revue systématique et autres types de revue de la littérature</w:t>
      </w:r>
      <w:r>
        <w:rPr>
          <w:rFonts w:cs="Arial" w:ascii="Arial" w:hAnsi="Arial"/>
          <w:sz w:val="18"/>
          <w:szCs w:val="18"/>
        </w:rPr>
        <w:t> </w:t>
      </w:r>
      <w:r>
        <w:rPr>
          <w:sz w:val="18"/>
          <w:szCs w:val="18"/>
        </w:rPr>
        <w:t>: Qu</w:t>
      </w:r>
      <w:r>
        <w:rPr>
          <w:rFonts w:cs="Corbel"/>
          <w:sz w:val="18"/>
          <w:szCs w:val="18"/>
        </w:rPr>
        <w:t>’</w:t>
      </w:r>
      <w:r>
        <w:rPr>
          <w:sz w:val="18"/>
          <w:szCs w:val="18"/>
        </w:rPr>
        <w:t>est-ce que c</w:t>
      </w:r>
      <w:r>
        <w:rPr>
          <w:rFonts w:cs="Corbel"/>
          <w:sz w:val="18"/>
          <w:szCs w:val="18"/>
        </w:rPr>
        <w:t>’</w:t>
      </w:r>
      <w:r>
        <w:rPr>
          <w:sz w:val="18"/>
          <w:szCs w:val="18"/>
        </w:rPr>
        <w:t>est, quand, comment, pourquoi</w:t>
      </w:r>
      <w:r>
        <w:rPr>
          <w:rFonts w:cs="Corbel"/>
          <w:sz w:val="18"/>
          <w:szCs w:val="18"/>
        </w:rPr>
        <w:t> </w:t>
      </w:r>
      <w:r>
        <w:rPr>
          <w:sz w:val="18"/>
          <w:szCs w:val="18"/>
        </w:rPr>
        <w:t xml:space="preserve">? </w:t>
      </w:r>
      <w:r>
        <w:rPr>
          <w:i/>
          <w:iCs/>
          <w:sz w:val="18"/>
          <w:szCs w:val="18"/>
        </w:rPr>
        <w:t xml:space="preserve">Archives des Maladies </w:t>
        <w:tab/>
        <w:t>Professionnelles et de l’Environnement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82</w:t>
      </w:r>
      <w:r>
        <w:rPr>
          <w:sz w:val="18"/>
          <w:szCs w:val="18"/>
        </w:rPr>
        <w:t>(5), 539</w:t>
        <w:noBreakHyphen/>
        <w:t xml:space="preserve">552. </w:t>
      </w:r>
      <w:hyperlink r:id="rId13">
        <w:r>
          <w:rPr>
            <w:rStyle w:val="Hyperlink"/>
            <w:rFonts w:eastAsia="Tahoma"/>
            <w:sz w:val="18"/>
            <w:szCs w:val="18"/>
          </w:rPr>
          <w:t>https://doi.org/10.1016/j.admp.2021.03.004</w:t>
        </w:r>
      </w:hyperlink>
    </w:p>
    <w:p>
      <w:pPr>
        <w:pStyle w:val="Normal"/>
        <w:spacing w:before="0" w:after="120"/>
        <w:jc w:val="left"/>
        <w:rPr/>
      </w:pPr>
      <w:r>
        <w:rPr>
          <w:sz w:val="18"/>
          <w:szCs w:val="18"/>
        </w:rPr>
        <w:tab/>
        <w:tab/>
        <w:t xml:space="preserve">Haddaway, N. R., Lotfi, T., &amp; Mbuagbaw, L. (2022). Systematic reviews : A glossary for public health. </w:t>
      </w:r>
      <w:r>
        <w:rPr>
          <w:i/>
          <w:iCs/>
          <w:sz w:val="18"/>
          <w:szCs w:val="18"/>
        </w:rPr>
        <w:t>Scandinavian Journal of Public Health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51</w:t>
      </w:r>
      <w:r>
        <w:rPr>
          <w:sz w:val="18"/>
          <w:szCs w:val="18"/>
        </w:rPr>
        <w:t>(1), 1</w:t>
        <w:noBreakHyphen/>
        <w:t xml:space="preserve">10. </w:t>
      </w:r>
      <w:hyperlink r:id="rId14">
        <w:r>
          <w:rPr>
            <w:rStyle w:val="Hyperlink"/>
            <w:sz w:val="18"/>
            <w:szCs w:val="18"/>
          </w:rPr>
          <w:t>https://doi.org/10.1177/14034948221074998</w:t>
        </w:r>
      </w:hyperlink>
      <w:r>
        <w:rPr>
          <w:sz w:val="18"/>
          <w:szCs w:val="18"/>
        </w:rPr>
        <w:t xml:space="preserve">  </w:t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nextPage"/>
      <w:pgSz w:orient="landscape" w:w="16838" w:h="11906"/>
      <w:pgMar w:left="510" w:right="510" w:gutter="0" w:header="283" w:top="394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09855" distR="113030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10480"/>
                          <a:ext cx="37332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2240" y="510480"/>
                          <a:ext cx="9324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6040" y="510480"/>
                          <a:ext cx="4428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900960" y="510480"/>
                          <a:ext cx="10368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80160" y="510480"/>
                          <a:ext cx="9324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NUMPAGES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5040" y="510480"/>
                          <a:ext cx="4428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2440"/>
                          <a:ext cx="43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20016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960 w 4286520"/>
                            <a:gd name="textAreaTop" fmla="*/ 0 h 113400"/>
                            <a:gd name="textAreaBottom" fmla="*/ 114840 h 113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9828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960 w 4286520"/>
                            <a:gd name="textAreaTop" fmla="*/ 0 h 55800"/>
                            <a:gd name="textAreaBottom" fmla="*/ 57240 h 558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09200" y="351720"/>
                          <a:ext cx="134568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4116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4;width:587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72;top:804;width:146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88;top:804;width:69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3;top:804;width:162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68;top:804;width:146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6;top:804;width:69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80;width:67;height:31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21;top:554;width:2118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6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 w:left="11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 w:left="11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Revue de littérature en santé : focus bibliographique - màj : 2024-05-15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</w:t>
    </w:r>
    <w:r>
      <w:rPr>
        <w:rFonts w:eastAsia="Tahoma" w:cs="Tahoma" w:ascii="Tahoma" w:hAnsi="Tahoma"/>
        <w:color w:val="3B3838"/>
        <w:sz w:val="18"/>
      </w:rPr>
      <w:t>6</w:t>
    </w:r>
    <w:r>
      <w:rPr>
        <w:rFonts w:eastAsia="Tahoma" w:cs="Tahoma" w:ascii="Tahoma" w:hAnsi="Tahoma"/>
        <w:color w:val="3B3838"/>
        <w:sz w:val="18"/>
      </w:rPr>
      <w:t>-</w:t>
    </w:r>
    <w:r>
      <w:rPr>
        <w:rFonts w:eastAsia="Tahoma" w:cs="Tahoma" w:ascii="Tahoma" w:hAnsi="Tahoma"/>
        <w:color w:val="3B3838"/>
        <w:sz w:val="18"/>
      </w:rPr>
      <w:t>24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</w:t>
    </w:r>
    <w:r>
      <w:rPr>
        <w:rFonts w:eastAsia="Tahoma" w:cs="Tahoma" w:ascii="Tahoma" w:hAnsi="Tahoma"/>
        <w:color w:val="3B3838"/>
        <w:sz w:val="18"/>
      </w:rPr>
      <w:t>6</w:t>
    </w:r>
    <w:r>
      <w:rPr>
        <w:rFonts w:eastAsia="Tahoma" w:cs="Tahoma" w:ascii="Tahoma" w:hAnsi="Tahoma"/>
        <w:color w:val="3B3838"/>
        <w:sz w:val="18"/>
      </w:rPr>
      <w:t>-</w:t>
    </w:r>
    <w:r>
      <w:rPr>
        <w:rFonts w:eastAsia="Tahoma" w:cs="Tahoma" w:ascii="Tahoma" w:hAnsi="Tahoma"/>
        <w:color w:val="3B3838"/>
        <w:sz w:val="18"/>
      </w:rPr>
      <w:t>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66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7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user">
    <w:name w:val="Caractères de note de bas de page (user)"/>
    <w:uiPriority w:val="99"/>
    <w:semiHidden/>
    <w:unhideWhenUsed/>
    <w:qFormat/>
    <w:rsid w:val="00dc26a5"/>
    <w:rPr>
      <w:vertAlign w:val="superscript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Sautdindexuser">
    <w:name w:val="Saut d'index (user)"/>
    <w:qFormat/>
    <w:rPr/>
  </w:style>
  <w:style w:type="character" w:styleId="Caractresdenotedefinuser">
    <w:name w:val="Caractères de note de fin (user)"/>
    <w:qFormat/>
    <w:rPr>
      <w:vertAlign w:val="superscript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ucesuser">
    <w:name w:val="Puces (user)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En-tteetpieddepageuser">
    <w:name w:val="En-tête et pied de page (user)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En-ttegauche">
    <w:name w:val="En-tête gauche"/>
    <w:basedOn w:val="Header"/>
    <w:qFormat/>
    <w:pPr/>
    <w:rPr/>
  </w:style>
  <w:style w:type="paragraph" w:styleId="Commentaire">
    <w:name w:val="Commentaire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Contenudecadreuser">
    <w:name w:val="Contenu de cadre (user)"/>
    <w:basedOn w:val="Normal"/>
    <w:qFormat/>
    <w:pPr/>
    <w:rPr/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bib.umontreal.ca/evaluer-analyser-rediger/syntheses-connaissances/revue-litterature-recension-ecrits" TargetMode="External"/><Relationship Id="rId9" Type="http://schemas.openxmlformats.org/officeDocument/2006/relationships/hyperlink" Target="https://bib.umontreal.ca/evaluer-analyser-rediger/syntheses-connaissances/examen-portee" TargetMode="External"/><Relationship Id="rId10" Type="http://schemas.openxmlformats.org/officeDocument/2006/relationships/hyperlink" Target="https://bib.umontreal.ca/evaluer-analyser-rediger/syntheses-connaissances/rediger-revue-systematique" TargetMode="External"/><Relationship Id="rId11" Type="http://schemas.openxmlformats.org/officeDocument/2006/relationships/hyperlink" Target="https://bib.umontreal.ca/evaluer-analyser-rediger/syntheses-connaissances" TargetMode="External"/><Relationship Id="rId12" Type="http://schemas.openxmlformats.org/officeDocument/2006/relationships/hyperlink" Target="https://guides.lib.unc.edu/systematic-reviews" TargetMode="External"/><Relationship Id="rId13" Type="http://schemas.openxmlformats.org/officeDocument/2006/relationships/hyperlink" Target="https://doi.org/10.1016/j.admp.2021.03.004" TargetMode="External"/><Relationship Id="rId14" Type="http://schemas.openxmlformats.org/officeDocument/2006/relationships/hyperlink" Target="https://doi.org/10.1177/14034948221074998" TargetMode="Externa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7AE-6CCD-4CDC-850E-AD5EB4A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LibreOffice/25.2.4.3$Windows_X86_64 LibreOffice_project/33e196637044ead23f5c3226cde09b47731f7e27</Application>
  <AppVersion>15.0000</AppVersion>
  <Pages>2</Pages>
  <Words>593</Words>
  <Characters>3464</Characters>
  <CharactersWithSpaces>4004</CharactersWithSpaces>
  <Paragraphs>60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2025-06-24T16:50:41Z</cp:lastPrinted>
  <dcterms:modified xsi:type="dcterms:W3CDTF">2025-06-24T16:49:57Z</dcterms:modified>
  <cp:revision>23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