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360"/>
        <w:contextualSpacing/>
        <w:jc w:val="left"/>
        <w:rPr>
          <w:rFonts w:ascii="Tahoma" w:hAnsi="Tahoma" w:cs="Tahoma"/>
          <w:lang w:eastAsia="en-US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1418" w:gutter="0" w:header="607" w:top="1520" w:footer="0" w:bottom="1701"/>
          <w:pgNumType w:fmt="decimal"/>
          <w:formProt w:val="false"/>
          <w:titlePg/>
          <w:textDirection w:val="lrTb"/>
          <w:docGrid w:type="default" w:linePitch="326" w:charSpace="0"/>
        </w:sectPr>
      </w:pPr>
      <w:r>
        <w:rPr>
          <w:rFonts w:cs="Tahoma" w:ascii="Tahoma" w:hAnsi="Tahoma"/>
          <w:lang w:eastAsia="en-US"/>
        </w:rPr>
      </w:r>
      <w:r>
        <w:br w:type="page"/>
      </w:r>
    </w:p>
    <w:p>
      <w:pPr>
        <w:pStyle w:val="Heading1"/>
        <w:spacing w:before="170" w:after="238"/>
        <w:rPr/>
      </w:pPr>
      <w:r>
        <w:rPr/>
        <w:t>OpenAlex, Matilda et autres « bases de données hybrides »</w:t>
      </w:r>
    </w:p>
    <w:p>
      <w:pPr>
        <w:pStyle w:val="Normal"/>
        <w:rPr>
          <w:lang w:eastAsia="en-US"/>
        </w:rPr>
      </w:pPr>
      <w:r>
        <w:rPr>
          <w:lang w:eastAsia="en-US"/>
        </w:rPr>
        <w:t>La dénomination « base de données hybride » ou « base de données tierce » (</w:t>
      </w:r>
      <w:r>
        <w:rPr>
          <w:i/>
          <w:iCs/>
          <w:lang w:eastAsia="en-US"/>
        </w:rPr>
        <w:t>third-party database</w:t>
      </w:r>
      <w:r>
        <w:rPr>
          <w:lang w:eastAsia="en-US"/>
        </w:rPr>
        <w:t>) désigne un service qui partage certaines caractéristiques des moteurs de recherche académiques (Google Scholar, Semantic Scholar) telles que le modèle d’accès, mais s’en distingue à différents titres, notamment le fait d’être alimenté par des bases de données tierces.</w:t>
      </w:r>
    </w:p>
    <w:p>
      <w:pPr>
        <w:pStyle w:val="Normal"/>
        <w:rPr>
          <w:lang w:eastAsia="en-US"/>
        </w:rPr>
      </w:pPr>
      <w:r>
        <w:rPr>
          <w:lang w:eastAsia="en-US"/>
        </w:rPr>
        <w:t xml:space="preserve">Voir : </w:t>
      </w:r>
      <w:r>
        <w:rPr/>
        <w:t xml:space="preserve">Delgado-Quirós, L., &amp; Ortega, J. L. (2024). Completeness degree of publication metadata in eight free-access scholarly databases. </w:t>
      </w:r>
      <w:r>
        <w:rPr>
          <w:i/>
        </w:rPr>
        <w:t>Quantitative Science Studies</w:t>
      </w:r>
      <w:r>
        <w:rPr/>
        <w:t xml:space="preserve">, </w:t>
      </w:r>
      <w:r>
        <w:rPr>
          <w:i/>
        </w:rPr>
        <w:t>5</w:t>
      </w:r>
      <w:r>
        <w:rPr/>
        <w:t>(1), 31</w:t>
        <w:noBreakHyphen/>
        <w:t xml:space="preserve">49. </w:t>
      </w:r>
      <w:hyperlink r:id="rId8">
        <w:r>
          <w:rPr>
            <w:rStyle w:val="Hyperlink"/>
          </w:rPr>
          <w:t>https://doi.org/10.1162/qss_a_00286</w:t>
        </w:r>
      </w:hyperlink>
    </w:p>
    <w:p>
      <w:pPr>
        <w:pStyle w:val="Normal"/>
        <w:rPr>
          <w:lang w:eastAsia="en-US"/>
        </w:rPr>
      </w:pPr>
      <w:r>
        <w:rPr/>
      </w:r>
    </w:p>
    <w:tbl>
      <w:tblPr>
        <w:tblStyle w:val="TableauGrille4-Accentuation1"/>
        <w:tblW w:w="15646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1760"/>
        <w:gridCol w:w="4770"/>
        <w:gridCol w:w="4408"/>
        <w:gridCol w:w="470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rPr>
                <w:rFonts w:eastAsia="Calibri" w:eastAsiaTheme="minorHAnsi"/>
                <w:sz w:val="18"/>
                <w:szCs w:val="18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18"/>
                <w:szCs w:val="18"/>
                <w:lang w:val="fr-FR" w:eastAsia="en-US" w:bidi="ar-SA"/>
              </w:rPr>
              <w:t>Base de données</w:t>
            </w:r>
          </w:p>
        </w:tc>
        <w:tc>
          <w:tcPr>
            <w:tcW w:w="47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18"/>
                <w:szCs w:val="18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18"/>
                <w:szCs w:val="18"/>
                <w:lang w:val="fr-FR" w:eastAsia="en-US" w:bidi="ar-SA"/>
              </w:rPr>
              <w:t>Couverture et sources de données</w:t>
            </w:r>
          </w:p>
        </w:tc>
        <w:tc>
          <w:tcPr>
            <w:tcW w:w="440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18"/>
                <w:szCs w:val="18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18"/>
                <w:szCs w:val="18"/>
                <w:lang w:val="fr-FR" w:eastAsia="en-US" w:bidi="ar-SA"/>
              </w:rPr>
              <w:t>Recherche</w:t>
            </w:r>
          </w:p>
        </w:tc>
        <w:tc>
          <w:tcPr>
            <w:tcW w:w="470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18"/>
                <w:szCs w:val="18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sz w:val="18"/>
                <w:szCs w:val="18"/>
                <w:lang w:eastAsia="en-US"/>
              </w:rPr>
              <w:t>Exports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9" w:tooltip="https://openalex.org/">
              <w:r>
                <w:rPr>
                  <w:rStyle w:val="Hyperlink"/>
                  <w:b/>
                  <w:bCs/>
                  <w:i w:val="false"/>
                  <w:iCs w:val="false"/>
                  <w:color w:val="auto"/>
                  <w:kern w:val="0"/>
                  <w:sz w:val="24"/>
                  <w:szCs w:val="24"/>
                  <w:lang w:val="fr-FR" w:eastAsia="fr-FR" w:bidi="ar-SA"/>
                </w:rPr>
                <w:t>OpenAlex</w:t>
              </w:r>
            </w:hyperlink>
          </w:p>
        </w:tc>
        <w:tc>
          <w:tcPr>
            <w:tcW w:w="477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pacing w:val="6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color w:val="auto"/>
                <w:spacing w:val="6"/>
                <w:kern w:val="0"/>
                <w:sz w:val="24"/>
                <w:szCs w:val="24"/>
                <w:lang w:val="fr-FR" w:eastAsia="fr-FR" w:bidi="ar-SA"/>
              </w:rPr>
              <w:t>PubMed, arXiv, Crossref et des milliers d’autres sources de données</w:t>
            </w:r>
            <w:r>
              <w:rPr>
                <w:color w:val="auto"/>
                <w:spacing w:val="6"/>
                <w:kern w:val="0"/>
                <w:sz w:val="24"/>
                <w:szCs w:val="24"/>
                <w:lang w:val="fr-FR" w:eastAsia="fr-FR" w:bidi="ar-SA"/>
              </w:rPr>
              <w:t xml:space="preserve"> ouvertes.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pacing w:val="6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b/>
                <w:bCs/>
                <w:color w:val="auto"/>
                <w:spacing w:val="6"/>
                <w:kern w:val="0"/>
                <w:sz w:val="24"/>
                <w:szCs w:val="24"/>
                <w:lang w:val="fr-FR" w:eastAsia="fr-FR" w:bidi="ar-SA"/>
              </w:rPr>
              <w:t>480</w:t>
            </w:r>
            <w:r>
              <w:rPr>
                <w:b/>
                <w:bCs/>
                <w:color w:val="auto"/>
                <w:spacing w:val="6"/>
                <w:kern w:val="0"/>
                <w:sz w:val="24"/>
                <w:szCs w:val="24"/>
                <w:lang w:val="fr-FR" w:eastAsia="fr-FR" w:bidi="ar-SA"/>
              </w:rPr>
              <w:t xml:space="preserve"> millions de publications</w:t>
            </w:r>
          </w:p>
        </w:tc>
        <w:tc>
          <w:tcPr>
            <w:tcW w:w="4408" w:type="dxa"/>
            <w:tcBorders>
              <w:right w:val="nil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327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color w:val="auto"/>
                <w:kern w:val="0"/>
                <w:sz w:val="48"/>
                <w:szCs w:val="48"/>
                <w:lang w:val="fr-FR" w:eastAsia="fr-FR" w:bidi="ar-SA"/>
              </w:rPr>
              <w:t>-</w:t>
            </w:r>
            <w:r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  <w:t> Syntaxe peu documentée, pas de recherche d’</w:t>
            </w:r>
            <w:hyperlink r:id="rId10">
              <w:r>
                <w:rPr>
                  <w:rStyle w:val="Hyperlink"/>
                  <w:color w:val="auto"/>
                  <w:kern w:val="0"/>
                  <w:sz w:val="24"/>
                  <w:szCs w:val="24"/>
                  <w:lang w:val="fr-FR" w:eastAsia="fr-FR" w:bidi="ar-SA"/>
                </w:rPr>
                <w:t>expression exacte</w:t>
              </w:r>
            </w:hyperlink>
          </w:p>
        </w:tc>
        <w:tc>
          <w:tcPr>
            <w:tcW w:w="470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kern w:val="0"/>
                <w:sz w:val="40"/>
                <w:szCs w:val="40"/>
                <w:lang w:val="fr-FR" w:eastAsia="fr-FR" w:bidi="ar-SA"/>
              </w:rPr>
              <w:t>++</w:t>
            </w:r>
            <w:r>
              <w:rPr>
                <w:color w:val="auto"/>
                <w:sz w:val="24"/>
                <w:szCs w:val="24"/>
              </w:rPr>
              <w:t> Jusqu’à 100’000 résultats au format CSV, RIS ou Txt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1">
              <w:r>
                <w:rPr>
                  <w:rStyle w:val="Hyperlink"/>
                  <w:b/>
                  <w:bCs/>
                  <w:i w:val="false"/>
                  <w:iCs w:val="false"/>
                  <w:color w:val="auto"/>
                  <w:kern w:val="0"/>
                  <w:sz w:val="24"/>
                  <w:szCs w:val="24"/>
                  <w:lang w:val="fr-FR" w:eastAsia="fr-FR" w:bidi="ar-SA"/>
                </w:rPr>
                <w:t>Dimensions</w:t>
              </w:r>
            </w:hyperlink>
          </w:p>
        </w:tc>
        <w:tc>
          <w:tcPr>
            <w:tcW w:w="477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  <w:t>Essentiellement Crossref.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b/>
                <w:bCs/>
                <w:color w:val="auto"/>
                <w:kern w:val="0"/>
                <w:sz w:val="24"/>
                <w:szCs w:val="24"/>
                <w:lang w:val="fr-FR" w:eastAsia="fr-FR" w:bidi="ar-SA"/>
              </w:rPr>
              <w:t>&gt; 1</w:t>
            </w:r>
            <w:r>
              <w:rPr>
                <w:b/>
                <w:bCs/>
                <w:color w:val="auto"/>
                <w:kern w:val="0"/>
                <w:sz w:val="24"/>
                <w:szCs w:val="24"/>
                <w:lang w:val="fr-FR" w:eastAsia="fr-FR" w:bidi="ar-SA"/>
              </w:rPr>
              <w:t>64</w:t>
            </w:r>
            <w:r>
              <w:rPr>
                <w:b/>
                <w:bCs/>
                <w:color w:val="auto"/>
                <w:kern w:val="0"/>
                <w:sz w:val="24"/>
                <w:szCs w:val="24"/>
                <w:lang w:val="fr-FR" w:eastAsia="fr-FR" w:bidi="ar-SA"/>
              </w:rPr>
              <w:t xml:space="preserve"> millions de publications</w:t>
            </w:r>
            <w:r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  <w:t xml:space="preserve"> (hors brevets, </w:t>
            </w:r>
            <w:r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  <w:t xml:space="preserve">jeux de données, </w:t>
            </w:r>
            <w:r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  <w:t xml:space="preserve">projets, </w:t>
            </w:r>
            <w:r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  <w:t>etc.</w:t>
            </w:r>
            <w:r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  <w:t>)</w:t>
            </w:r>
          </w:p>
        </w:tc>
        <w:tc>
          <w:tcPr>
            <w:tcW w:w="4408" w:type="dxa"/>
            <w:tcBorders>
              <w:right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color w:val="auto"/>
                <w:kern w:val="0"/>
                <w:sz w:val="48"/>
                <w:szCs w:val="48"/>
                <w:lang w:val="fr-FR" w:eastAsia="fr-FR" w:bidi="ar-SA"/>
              </w:rPr>
              <w:t>--</w:t>
            </w:r>
            <w:r>
              <w:rPr>
                <w:color w:val="auto"/>
                <w:kern w:val="0"/>
                <w:sz w:val="24"/>
                <w:szCs w:val="24"/>
                <w:lang w:val="fr-FR" w:eastAsia="fr-FR" w:bidi="ar-SA"/>
              </w:rPr>
              <w:t xml:space="preserve"> Options très limitées dans la </w:t>
            </w:r>
            <w:hyperlink r:id="rId12">
              <w:r>
                <w:rPr>
                  <w:rStyle w:val="Hyperlink"/>
                  <w:color w:val="auto"/>
                  <w:kern w:val="0"/>
                  <w:sz w:val="24"/>
                  <w:szCs w:val="24"/>
                  <w:lang w:val="fr-FR" w:eastAsia="fr-FR" w:bidi="ar-SA"/>
                </w:rPr>
                <w:t>version gratuite</w:t>
              </w:r>
            </w:hyperlink>
          </w:p>
        </w:tc>
        <w:tc>
          <w:tcPr>
            <w:tcW w:w="4708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kern w:val="0"/>
                <w:sz w:val="48"/>
                <w:szCs w:val="48"/>
                <w:lang w:val="fr-FR" w:eastAsia="fr-FR" w:bidi="ar-SA"/>
              </w:rPr>
              <w:t>--</w:t>
            </w:r>
            <w:r>
              <w:rPr>
                <w:color w:val="auto"/>
                <w:sz w:val="24"/>
                <w:szCs w:val="24"/>
              </w:rPr>
              <w:t xml:space="preserve"> Jusqu’à 500 résultats avec la version gratuite au format RIS, BibTeX, CSV ou Excel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rPr>
                <w:b/>
                <w:bCs/>
              </w:rPr>
            </w:pPr>
            <w:hyperlink r:id="rId13">
              <w:r>
                <w:rPr>
                  <w:rStyle w:val="Hyperlink"/>
                  <w:b/>
                  <w:bCs/>
                  <w:i w:val="false"/>
                  <w:iCs w:val="false"/>
                  <w:kern w:val="0"/>
                  <w:sz w:val="24"/>
                  <w:szCs w:val="24"/>
                  <w:lang w:val="fr-FR" w:eastAsia="fr-FR" w:bidi="ar-SA"/>
                </w:rPr>
                <w:t>The Lens</w:t>
              </w:r>
            </w:hyperlink>
          </w:p>
        </w:tc>
        <w:tc>
          <w:tcPr>
            <w:tcW w:w="477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pacing w:val="10"/>
                <w:sz w:val="24"/>
                <w:szCs w:val="24"/>
              </w:rPr>
            </w:pPr>
            <w:r>
              <w:rPr>
                <w:color w:val="auto"/>
                <w:spacing w:val="10"/>
                <w:kern w:val="0"/>
                <w:sz w:val="24"/>
                <w:szCs w:val="24"/>
                <w:lang w:val="fr-FR" w:eastAsia="fr-FR" w:bidi="ar-SA"/>
              </w:rPr>
              <w:t xml:space="preserve">Sources primaires : </w:t>
            </w:r>
            <w:r>
              <w:rPr>
                <w:color w:val="auto"/>
                <w:spacing w:val="10"/>
                <w:kern w:val="0"/>
                <w:sz w:val="24"/>
                <w:szCs w:val="24"/>
                <w:lang w:val="fr-FR" w:eastAsia="fr-FR" w:bidi="ar-SA"/>
              </w:rPr>
              <w:t xml:space="preserve">Crossref, PubMed, </w:t>
            </w:r>
            <w:r>
              <w:rPr>
                <w:color w:val="auto"/>
                <w:spacing w:val="10"/>
                <w:kern w:val="0"/>
                <w:sz w:val="24"/>
                <w:szCs w:val="24"/>
                <w:lang w:val="fr-FR" w:eastAsia="fr-FR" w:bidi="ar-SA"/>
              </w:rPr>
              <w:t>OpenAlex</w:t>
            </w:r>
            <w:r>
              <w:rPr>
                <w:color w:val="auto"/>
                <w:spacing w:val="10"/>
                <w:kern w:val="0"/>
                <w:sz w:val="24"/>
                <w:szCs w:val="24"/>
                <w:lang w:val="fr-FR" w:eastAsia="fr-FR" w:bidi="ar-SA"/>
              </w:rPr>
              <w:t xml:space="preserve"> et Microsoft Academic.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pacing w:val="10"/>
                <w:sz w:val="24"/>
                <w:szCs w:val="24"/>
              </w:rPr>
            </w:pPr>
            <w:r>
              <w:rPr>
                <w:b/>
                <w:bCs/>
                <w:color w:val="auto"/>
                <w:spacing w:val="10"/>
                <w:kern w:val="0"/>
                <w:sz w:val="24"/>
                <w:szCs w:val="24"/>
                <w:lang w:val="fr-FR" w:eastAsia="fr-FR" w:bidi="ar-SA"/>
              </w:rPr>
              <w:t xml:space="preserve">&gt; </w:t>
            </w:r>
            <w:r>
              <w:rPr>
                <w:b/>
                <w:bCs/>
                <w:color w:val="auto"/>
                <w:spacing w:val="10"/>
                <w:kern w:val="0"/>
                <w:sz w:val="24"/>
                <w:szCs w:val="24"/>
                <w:lang w:val="fr-FR" w:eastAsia="fr-FR" w:bidi="ar-SA"/>
              </w:rPr>
              <w:t>312</w:t>
            </w:r>
            <w:r>
              <w:rPr>
                <w:b/>
                <w:bCs/>
                <w:color w:val="auto"/>
                <w:spacing w:val="10"/>
                <w:sz w:val="24"/>
                <w:szCs w:val="24"/>
              </w:rPr>
              <w:t xml:space="preserve"> millions de publications</w:t>
            </w:r>
            <w:r>
              <w:rPr>
                <w:color w:val="auto"/>
                <w:spacing w:val="10"/>
                <w:sz w:val="24"/>
                <w:szCs w:val="24"/>
              </w:rPr>
              <w:t xml:space="preserve"> (hors brevets)</w:t>
            </w:r>
          </w:p>
        </w:tc>
        <w:tc>
          <w:tcPr>
            <w:tcW w:w="4408" w:type="dxa"/>
            <w:tcBorders>
              <w:right w:val="nil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0" w:left="327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kern w:val="0"/>
                <w:sz w:val="40"/>
                <w:szCs w:val="40"/>
                <w:lang w:val="fr-FR" w:eastAsia="fr-FR" w:bidi="ar-SA"/>
              </w:rPr>
              <w:t>++</w:t>
            </w:r>
            <w:r>
              <w:rPr>
                <w:kern w:val="0"/>
                <w:sz w:val="24"/>
                <w:szCs w:val="24"/>
                <w:lang w:val="fr-FR" w:eastAsia="fr-FR" w:bidi="ar-SA"/>
              </w:rPr>
              <w:t> Syntaxe riche et documentée (recherche d’expressions régulières), formulaire de recherche avancée</w:t>
            </w:r>
          </w:p>
        </w:tc>
        <w:tc>
          <w:tcPr>
            <w:tcW w:w="470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0" w:left="327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4"/>
                <w:sz w:val="24"/>
                <w:szCs w:val="24"/>
              </w:rPr>
            </w:pPr>
            <w:r>
              <w:rPr>
                <w:b/>
                <w:bCs/>
                <w:spacing w:val="4"/>
                <w:kern w:val="0"/>
                <w:sz w:val="40"/>
                <w:szCs w:val="40"/>
                <w:lang w:val="fr-FR" w:eastAsia="fr-FR" w:bidi="ar-SA"/>
              </w:rPr>
              <w:t>++</w:t>
            </w:r>
            <w:r>
              <w:rPr>
                <w:spacing w:val="4"/>
                <w:sz w:val="24"/>
                <w:szCs w:val="24"/>
              </w:rPr>
              <w:t> Jusqu’à 50’000 résultats au format CSV, RIS, BibTeX  ou JSON via le compte The Lens gratuit ; 1’000 sans authentification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4">
              <w:r>
                <w:rPr>
                  <w:rStyle w:val="Hyperlink"/>
                  <w:b/>
                  <w:bCs/>
                  <w:i w:val="false"/>
                  <w:iCs w:val="false"/>
                  <w:color w:val="auto"/>
                  <w:kern w:val="0"/>
                  <w:sz w:val="24"/>
                  <w:szCs w:val="24"/>
                  <w:lang w:val="fr-FR" w:eastAsia="fr-FR" w:bidi="ar-SA"/>
                </w:rPr>
                <w:t>Matilda</w:t>
              </w:r>
            </w:hyperlink>
          </w:p>
        </w:tc>
        <w:tc>
          <w:tcPr>
            <w:tcW w:w="477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ind w:hanging="0" w:left="0" w:right="1008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9"/>
                <w:sz w:val="24"/>
                <w:szCs w:val="24"/>
              </w:rPr>
            </w:pPr>
            <w:r>
              <w:rPr>
                <w:spacing w:val="9"/>
                <w:kern w:val="0"/>
                <w:sz w:val="24"/>
                <w:szCs w:val="24"/>
                <w:lang w:val="fr-FR" w:eastAsia="fr-FR" w:bidi="ar-SA"/>
              </w:rPr>
              <w:t xml:space="preserve">ArXiv, </w:t>
            </w:r>
            <w:r>
              <w:rPr>
                <w:spacing w:val="9"/>
                <w:sz w:val="24"/>
                <w:szCs w:val="24"/>
              </w:rPr>
              <w:t>PubMed, Crossref, RePEc, HAL, Unpaywall et Orcid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 w:left="0" w:right="1008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pacing w:val="9"/>
                <w:sz w:val="24"/>
                <w:szCs w:val="24"/>
              </w:rPr>
            </w:pPr>
            <w:r>
              <w:rPr>
                <w:b/>
                <w:bCs/>
                <w:spacing w:val="9"/>
                <w:sz w:val="24"/>
                <w:szCs w:val="24"/>
              </w:rPr>
              <w:t>&gt; 1</w:t>
            </w:r>
            <w:r>
              <w:rPr>
                <w:b/>
                <w:bCs/>
                <w:spacing w:val="9"/>
                <w:sz w:val="24"/>
                <w:szCs w:val="24"/>
              </w:rPr>
              <w:t>62</w:t>
            </w:r>
            <w:r>
              <w:rPr>
                <w:b/>
                <w:bCs/>
                <w:spacing w:val="9"/>
                <w:sz w:val="24"/>
                <w:szCs w:val="24"/>
              </w:rPr>
              <w:t xml:space="preserve"> millions de publications</w:t>
            </w:r>
          </w:p>
        </w:tc>
        <w:tc>
          <w:tcPr>
            <w:tcW w:w="4408" w:type="dxa"/>
            <w:tcBorders>
              <w:right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0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1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b/>
                <w:bCs/>
                <w:spacing w:val="4"/>
                <w:kern w:val="0"/>
                <w:sz w:val="40"/>
                <w:szCs w:val="40"/>
                <w:lang w:val="fr-FR" w:eastAsia="fr-FR" w:bidi="ar-SA"/>
              </w:rPr>
              <w:t>+</w:t>
            </w:r>
            <w:r>
              <w:rPr>
                <w:spacing w:val="11"/>
                <w:kern w:val="0"/>
                <w:sz w:val="24"/>
                <w:szCs w:val="24"/>
                <w:lang w:val="fr-FR" w:eastAsia="fr-FR" w:bidi="ar-SA"/>
              </w:rPr>
              <w:t> Nombre de caractères non limité, syntaxe booléenne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0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1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b/>
                <w:bCs/>
                <w:color w:val="auto"/>
                <w:spacing w:val="11"/>
                <w:kern w:val="0"/>
                <w:sz w:val="48"/>
                <w:szCs w:val="48"/>
                <w:lang w:val="fr-FR" w:eastAsia="fr-FR" w:bidi="ar-SA"/>
              </w:rPr>
              <w:t>-</w:t>
            </w:r>
            <w:r>
              <w:rPr>
                <w:spacing w:val="11"/>
                <w:kern w:val="0"/>
                <w:sz w:val="24"/>
                <w:szCs w:val="24"/>
                <w:lang w:val="fr-FR" w:eastAsia="fr-FR" w:bidi="ar-SA"/>
              </w:rPr>
              <w:t> Pas de troncature, champs de recherche limités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0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1"/>
                <w:sz w:val="24"/>
                <w:szCs w:val="24"/>
              </w:rPr>
            </w:pPr>
            <w:r>
              <w:rPr>
                <w:b/>
                <w:bCs/>
                <w:spacing w:val="4"/>
                <w:kern w:val="0"/>
                <w:sz w:val="40"/>
                <w:szCs w:val="40"/>
                <w:lang w:val="fr-FR" w:eastAsia="fr-FR" w:bidi="ar-SA"/>
              </w:rPr>
              <w:t>+</w:t>
            </w:r>
            <w:r>
              <w:rPr>
                <w:b/>
                <w:bCs/>
                <w:spacing w:val="4"/>
                <w:kern w:val="0"/>
                <w:sz w:val="44"/>
                <w:szCs w:val="44"/>
                <w:lang w:val="fr-FR" w:eastAsia="fr-FR" w:bidi="ar-SA"/>
              </w:rPr>
              <w:t xml:space="preserve"> </w:t>
            </w:r>
            <w:r>
              <w:rPr>
                <w:spacing w:val="11"/>
                <w:sz w:val="24"/>
                <w:szCs w:val="24"/>
              </w:rPr>
              <w:t>Export BibTex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0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1"/>
                <w:sz w:val="24"/>
                <w:szCs w:val="24"/>
              </w:rPr>
            </w:pPr>
            <w:r>
              <w:rPr>
                <w:b/>
                <w:bCs/>
                <w:color w:val="auto"/>
                <w:spacing w:val="11"/>
                <w:kern w:val="0"/>
                <w:sz w:val="48"/>
                <w:szCs w:val="48"/>
                <w:lang w:val="fr-FR" w:eastAsia="fr-FR" w:bidi="ar-SA"/>
              </w:rPr>
              <w:t>--</w:t>
            </w:r>
            <w:r>
              <w:rPr>
                <w:spacing w:val="11"/>
                <w:sz w:val="24"/>
                <w:szCs w:val="24"/>
              </w:rPr>
              <w:t> Pas d’export par lot au-delà des résultats affichés sur la page en cours ; nombre de résultats affichés non paramétrable</w:t>
            </w:r>
          </w:p>
        </w:tc>
      </w:tr>
    </w:tbl>
    <w:p>
      <w:pPr>
        <w:pStyle w:val="Normal"/>
        <w:spacing w:before="120" w:after="0"/>
        <w:ind w:hanging="0" w:left="0"/>
        <w:contextualSpacing/>
        <w:jc w:val="left"/>
        <w:rPr>
          <w:rStyle w:val="Hyperlink"/>
          <w:i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 w:left="0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orient="landscape" w:w="16838" w:h="11906"/>
      <w:pgMar w:left="510" w:right="510" w:gutter="0" w:header="567" w:top="907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rbel">
    <w:charset w:val="00"/>
    <w:family w:val="swiss"/>
    <w:pitch w:val="variable"/>
  </w:font>
  <w:font w:name="Tahoma">
    <w:charset w:val="00"/>
    <w:family w:val="swiss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-1419" w:right="10492"/>
      <w:jc w:val="left"/>
      <w:rPr/>
    </w:pPr>
    <w:r>
      <w:rPr/>
      <mc:AlternateContent>
        <mc:Choice Requires="wpg">
          <w:drawing>
            <wp:anchor distT="0" distB="0" distL="106045" distR="111125" simplePos="0" relativeHeight="2" behindDoc="1" locked="0" layoutInCell="0" allowOverlap="1" wp14:anchorId="097864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957580"/>
              <wp:effectExtent l="0" t="0" r="0" b="0"/>
              <wp:wrapSquare wrapText="bothSides"/>
              <wp:docPr id="1" name="Group 569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1080" cy="957600"/>
                        <a:chOff x="0" y="0"/>
                        <a:chExt cx="7561080" cy="957600"/>
                      </a:xfrm>
                    </wpg:grpSpPr>
                    <wps:wsp>
                      <wps:cNvPr id="2" name="Rectangle 5702"/>
                      <wps:cNvSpPr/>
                      <wps:spPr>
                        <a:xfrm>
                          <a:off x="3509640" y="513720"/>
                          <a:ext cx="37332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Page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" name="Rectangle 5703"/>
                      <wps:cNvSpPr/>
                      <wps:spPr>
                        <a:xfrm>
                          <a:off x="3795480" y="513720"/>
                          <a:ext cx="900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0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" name="Rectangle 5704"/>
                      <wps:cNvSpPr/>
                      <wps:spPr>
                        <a:xfrm>
                          <a:off x="3868920" y="513720"/>
                          <a:ext cx="414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" name="Rectangle 5705"/>
                      <wps:cNvSpPr/>
                      <wps:spPr>
                        <a:xfrm>
                          <a:off x="3903840" y="513720"/>
                          <a:ext cx="10044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/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6" name="Rectangle 5706"/>
                      <wps:cNvSpPr/>
                      <wps:spPr>
                        <a:xfrm>
                          <a:off x="3983400" y="513720"/>
                          <a:ext cx="900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NUMPAGES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7" name="Rectangle 5707"/>
                      <wps:cNvSpPr/>
                      <wps:spPr>
                        <a:xfrm>
                          <a:off x="4058280" y="513720"/>
                          <a:ext cx="414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8" name="Rectangle 5708"/>
                      <wps:cNvSpPr/>
                      <wps:spPr>
                        <a:xfrm>
                          <a:off x="901080" y="625320"/>
                          <a:ext cx="39960" cy="20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9" name="Shape 5698"/>
                      <wps:cNvSpPr/>
                      <wps:spPr>
                        <a:xfrm>
                          <a:off x="0" y="0"/>
                          <a:ext cx="7561080" cy="196920"/>
                        </a:xfrm>
                        <a:custGeom>
                          <a:avLst/>
                          <a:gdLst>
                            <a:gd name="textAreaLeft" fmla="*/ 0 w 4286520"/>
                            <a:gd name="textAreaRight" fmla="*/ 4289760 w 4286520"/>
                            <a:gd name="textAreaTop" fmla="*/ 0 h 111600"/>
                            <a:gd name="textAreaBottom" fmla="*/ 114840 h 111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564" h="202933">
                              <a:moveTo>
                                <a:pt x="0" y="0"/>
                              </a:moveTo>
                              <a:lnTo>
                                <a:pt x="7560564" y="185377"/>
                              </a:lnTo>
                              <a:lnTo>
                                <a:pt x="7560564" y="202933"/>
                              </a:lnTo>
                              <a:lnTo>
                                <a:pt x="0" y="2029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3A3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hape 5699"/>
                      <wps:cNvSpPr/>
                      <wps:spPr>
                        <a:xfrm>
                          <a:off x="0" y="114480"/>
                          <a:ext cx="7561080" cy="95400"/>
                        </a:xfrm>
                        <a:custGeom>
                          <a:avLst/>
                          <a:gdLst>
                            <a:gd name="textAreaLeft" fmla="*/ 0 w 4286520"/>
                            <a:gd name="textAreaRight" fmla="*/ 4289760 w 4286520"/>
                            <a:gd name="textAreaTop" fmla="*/ 0 h 54000"/>
                            <a:gd name="textAreaBottom" fmla="*/ 57240 h 54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564" h="101460">
                              <a:moveTo>
                                <a:pt x="0" y="0"/>
                              </a:moveTo>
                              <a:lnTo>
                                <a:pt x="7560564" y="90219"/>
                              </a:lnTo>
                              <a:lnTo>
                                <a:pt x="7560564" y="101460"/>
                              </a:lnTo>
                              <a:lnTo>
                                <a:pt x="0" y="1014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" name="Picture 5700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6112440" y="351720"/>
                          <a:ext cx="1342440" cy="53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Picture 570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57240" y="418320"/>
                          <a:ext cx="1537920" cy="53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5697" style="position:absolute;margin-left:0pt;margin-top:0pt;width:595.35pt;height:75.4pt" coordorigin="0,0" coordsize="11907,1508">
              <v:rect id="shape_0" stroked="f" o:allowincell="f" style="position:absolute;left:5527;top:809;width:587;height:22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Page 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5977;top:809;width:141;height:22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0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6093;top:809;width:64;height:22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6148;top:809;width:157;height:22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/ 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6273;top:809;width:141;height:22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NUMPAGES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6391;top:809;width:64;height:22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1419;top:985;width:62;height:31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9626;top:554;width:2113;height:848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square"/>
              </v:shape>
              <v:shape id="shape_0" stroked="f" o:allowincell="f" style="position:absolute;left:90;top:659;width:2421;height:848;mso-wrap-style:none;v-text-anchor:middle;mso-position-horizontal-relative:page;mso-position-vertical-relative:page" type="_x0000_t75">
                <v:imagedata r:id="rId4" o:detectmouseclick="t"/>
                <v:stroke color="#3465a4" joinstyle="round" endcap="flat"/>
                <w10:wrap type="square"/>
              </v:shape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0</w:t>
        </w:r>
        <w:r>
          <w:rPr>
            <w:b/>
            <w:bCs/>
            <w:szCs w:val="24"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2</w:t>
        </w:r>
        <w:r>
          <w:rPr>
            <w:b/>
            <w:bCs/>
            <w:szCs w:val="24"/>
          </w:rPr>
          <w:fldChar w:fldCharType="end"/>
        </w:r>
      </w:p>
    </w:sdtContent>
  </w:sdt>
  <w:p>
    <w:pPr>
      <w:pStyle w:val="Normal"/>
      <w:spacing w:lineRule="auto" w:line="259" w:before="0" w:after="0"/>
      <w:ind w:hanging="0" w:left="-1419" w:right="10492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2</w:t>
        </w:r>
        <w:r>
          <w:rPr>
            <w:b/>
            <w:bCs/>
            <w:szCs w:val="24"/>
          </w:rPr>
          <w:fldChar w:fldCharType="end"/>
        </w:r>
      </w:p>
      <w:p>
        <w:pPr>
          <w:pStyle w:val="Footer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ind w:hanging="0" w:left="11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ind w:hanging="0" w:left="11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416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Fiche : Recherche bibliographique - sélection d’outils Dernière mise à jour : 2020-12-09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Fiche : Revue de littérature en santé : focus bibliographique - màj : 2024-05-15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4167"/>
      <w:jc w:val="left"/>
      <w:rPr>
        <w:rFonts w:ascii="Tahoma" w:hAnsi="Tahoma" w:eastAsia="Tahoma" w:cs="Tahoma"/>
        <w:color w:val="3B3838"/>
        <w:sz w:val="18"/>
      </w:rPr>
    </w:pPr>
    <w:r>
      <w:rPr>
        <w:rFonts w:eastAsia="Tahoma" w:cs="Tahoma" w:ascii="Tahoma" w:hAnsi="Tahoma"/>
        <w:color w:val="3B3838"/>
        <w:sz w:val="18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Auteur : Frédérique Flamerie - mise à disposition sous licence </w:t>
    </w:r>
    <w:hyperlink r:id="rId1">
      <w:r>
        <w:rPr>
          <w:rStyle w:val="Hyperlink"/>
          <w:rFonts w:eastAsia="Tahoma" w:cs="Tahoma" w:ascii="Tahoma" w:hAnsi="Tahoma"/>
          <w:color w:val="3B3838"/>
          <w:sz w:val="18"/>
        </w:rPr>
        <w:t>CC BY-SA</w:t>
      </w:r>
    </w:hyperlink>
    <w:r>
      <w:rPr>
        <w:rFonts w:eastAsia="Tahoma" w:cs="Tahoma" w:ascii="Tahoma" w:hAnsi="Tahoma"/>
        <w:color w:val="3B3838"/>
        <w:sz w:val="18"/>
      </w:rPr>
      <w:t xml:space="preserve"> - màj 202</w:t>
    </w:r>
    <w:r>
      <w:rPr>
        <w:rFonts w:eastAsia="Tahoma" w:cs="Tahoma" w:ascii="Tahoma" w:hAnsi="Tahoma"/>
        <w:color w:val="3B3838"/>
        <w:sz w:val="18"/>
      </w:rPr>
      <w:t>6</w:t>
    </w:r>
    <w:r>
      <w:rPr>
        <w:rFonts w:eastAsia="Tahoma" w:cs="Tahoma" w:ascii="Tahoma" w:hAnsi="Tahoma"/>
        <w:color w:val="3B3838"/>
        <w:sz w:val="18"/>
      </w:rPr>
      <w:t>-0</w:t>
    </w:r>
    <w:r>
      <w:rPr>
        <w:rFonts w:eastAsia="Tahoma" w:cs="Tahoma" w:ascii="Tahoma" w:hAnsi="Tahoma"/>
        <w:color w:val="3B3838"/>
        <w:sz w:val="18"/>
      </w:rPr>
      <w:t>5</w:t>
    </w:r>
    <w:r>
      <w:rPr>
        <w:rFonts w:eastAsia="Tahoma" w:cs="Tahoma" w:ascii="Tahoma" w:hAnsi="Tahoma"/>
        <w:color w:val="3B3838"/>
        <w:sz w:val="18"/>
      </w:rPr>
      <w:t>-</w:t>
    </w:r>
    <w:r>
      <w:rPr>
        <w:rFonts w:eastAsia="Tahoma" w:cs="Tahoma" w:ascii="Tahoma" w:hAnsi="Tahoma"/>
        <w:color w:val="3B3838"/>
        <w:sz w:val="18"/>
      </w:rPr>
      <w:t>05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Auteur : Frédérique Flamerie - mise à disposition sous licence </w:t>
    </w:r>
    <w:hyperlink r:id="rId1">
      <w:r>
        <w:rPr>
          <w:rStyle w:val="Hyperlink"/>
          <w:rFonts w:eastAsia="Tahoma" w:cs="Tahoma" w:ascii="Tahoma" w:hAnsi="Tahoma"/>
          <w:color w:val="3B3838"/>
          <w:sz w:val="18"/>
        </w:rPr>
        <w:t>CC BY-SA</w:t>
      </w:r>
    </w:hyperlink>
    <w:r>
      <w:rPr>
        <w:rFonts w:eastAsia="Tahoma" w:cs="Tahoma" w:ascii="Tahoma" w:hAnsi="Tahoma"/>
        <w:color w:val="3B3838"/>
        <w:sz w:val="18"/>
      </w:rPr>
      <w:t xml:space="preserve"> - màj 202</w:t>
    </w:r>
    <w:r>
      <w:rPr>
        <w:rFonts w:eastAsia="Tahoma" w:cs="Tahoma" w:ascii="Tahoma" w:hAnsi="Tahoma"/>
        <w:color w:val="3B3838"/>
        <w:sz w:val="18"/>
      </w:rPr>
      <w:t>6</w:t>
    </w:r>
    <w:r>
      <w:rPr>
        <w:rFonts w:eastAsia="Tahoma" w:cs="Tahoma" w:ascii="Tahoma" w:hAnsi="Tahoma"/>
        <w:color w:val="3B3838"/>
        <w:sz w:val="18"/>
      </w:rPr>
      <w:t>-0</w:t>
    </w:r>
    <w:r>
      <w:rPr>
        <w:rFonts w:eastAsia="Tahoma" w:cs="Tahoma" w:ascii="Tahoma" w:hAnsi="Tahoma"/>
        <w:color w:val="3B3838"/>
        <w:sz w:val="18"/>
      </w:rPr>
      <w:t>5</w:t>
    </w:r>
    <w:r>
      <w:rPr>
        <w:rFonts w:eastAsia="Tahoma" w:cs="Tahoma" w:ascii="Tahoma" w:hAnsi="Tahoma"/>
        <w:color w:val="3B3838"/>
        <w:sz w:val="18"/>
      </w:rPr>
      <w:t>-</w:t>
    </w:r>
    <w:r>
      <w:rPr>
        <w:rFonts w:eastAsia="Tahoma" w:cs="Tahoma" w:ascii="Tahoma" w:hAnsi="Tahoma"/>
        <w:color w:val="3B3838"/>
        <w:sz w:val="18"/>
      </w:rPr>
      <w:t>05</w:t>
    </w:r>
  </w:p>
</w:hdr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2684e"/>
    <w:pPr>
      <w:widowControl/>
      <w:suppressAutoHyphens w:val="true"/>
      <w:bidi w:val="0"/>
      <w:spacing w:lineRule="auto" w:line="240" w:before="0" w:after="120"/>
      <w:ind w:hanging="11" w:left="11"/>
      <w:jc w:val="both"/>
    </w:pPr>
    <w:rPr>
      <w:rFonts w:ascii="Corbel" w:hAnsi="Corbel" w:eastAsia="Times New Roman" w:cs="Times New Roman"/>
      <w:color w:val="000000"/>
      <w:kern w:val="0"/>
      <w:sz w:val="24"/>
      <w:szCs w:val="22"/>
      <w:lang w:val="fr-FR" w:eastAsia="fr-FR" w:bidi="ar-SA"/>
    </w:rPr>
  </w:style>
  <w:style w:type="paragraph" w:styleId="Heading1">
    <w:name w:val="heading 1"/>
    <w:next w:val="Normal"/>
    <w:link w:val="Titre1Car"/>
    <w:uiPriority w:val="9"/>
    <w:unhideWhenUsed/>
    <w:qFormat/>
    <w:rsid w:val="00375e0f"/>
    <w:pPr>
      <w:keepNext w:val="true"/>
      <w:keepLines/>
      <w:widowControl/>
      <w:suppressAutoHyphens w:val="true"/>
      <w:bidi w:val="0"/>
      <w:spacing w:lineRule="auto" w:line="247" w:before="0" w:after="240"/>
      <w:ind w:hanging="11" w:left="11"/>
      <w:jc w:val="left"/>
      <w:outlineLvl w:val="0"/>
    </w:pPr>
    <w:rPr>
      <w:rFonts w:ascii="Tahoma" w:hAnsi="Tahoma" w:eastAsia="Tahoma" w:cs="Tahoma"/>
      <w:color w:val="5B9BD5"/>
      <w:kern w:val="0"/>
      <w:sz w:val="36"/>
      <w:szCs w:val="22"/>
      <w:lang w:val="fr-FR" w:eastAsia="fr-FR" w:bidi="ar-SA"/>
    </w:rPr>
  </w:style>
  <w:style w:type="paragraph" w:styleId="Heading2">
    <w:name w:val="heading 2"/>
    <w:next w:val="Normal"/>
    <w:link w:val="Titre2Car"/>
    <w:uiPriority w:val="9"/>
    <w:unhideWhenUsed/>
    <w:qFormat/>
    <w:rsid w:val="00375e0f"/>
    <w:pPr>
      <w:keepNext w:val="true"/>
      <w:keepLines/>
      <w:widowControl/>
      <w:suppressAutoHyphens w:val="true"/>
      <w:bidi w:val="0"/>
      <w:spacing w:lineRule="auto" w:line="240" w:before="240" w:after="240"/>
      <w:ind w:hanging="11" w:left="11"/>
      <w:jc w:val="left"/>
      <w:outlineLvl w:val="1"/>
    </w:pPr>
    <w:rPr>
      <w:rFonts w:ascii="Tahoma" w:hAnsi="Tahoma" w:eastAsia="Tahoma" w:cs="Tahoma"/>
      <w:color w:val="5B9BD5"/>
      <w:kern w:val="0"/>
      <w:sz w:val="32"/>
      <w:szCs w:val="22"/>
      <w:lang w:val="fr-FR" w:eastAsia="fr-FR" w:bidi="ar-SA"/>
    </w:rPr>
  </w:style>
  <w:style w:type="paragraph" w:styleId="Heading3">
    <w:name w:val="heading 3"/>
    <w:next w:val="Normal"/>
    <w:link w:val="Titre3Car"/>
    <w:uiPriority w:val="9"/>
    <w:unhideWhenUsed/>
    <w:qFormat/>
    <w:rsid w:val="00375e0f"/>
    <w:pPr>
      <w:widowControl/>
      <w:suppressAutoHyphens w:val="true"/>
      <w:bidi w:val="0"/>
      <w:spacing w:lineRule="auto" w:line="240" w:before="0" w:after="180"/>
      <w:ind w:hanging="11" w:left="11"/>
      <w:jc w:val="left"/>
      <w:outlineLvl w:val="2"/>
    </w:pPr>
    <w:rPr>
      <w:rFonts w:ascii="Tahoma" w:hAnsi="Tahoma" w:eastAsia="Tahoma" w:cs="Tahoma"/>
      <w:color w:themeColor="accent2" w:val="ED7D31"/>
      <w:kern w:val="0"/>
      <w:sz w:val="28"/>
      <w:szCs w:val="24"/>
      <w:lang w:val="fr-FR" w:eastAsia="en-US" w:bidi="ar-SA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702785"/>
    <w:pPr>
      <w:keepNext w:val="true"/>
      <w:keepLines/>
      <w:spacing w:before="40" w:after="120"/>
      <w:outlineLvl w:val="3"/>
    </w:pPr>
    <w:rPr>
      <w:rFonts w:ascii="Tahoma" w:hAnsi="Tahoma" w:eastAsia="" w:cs="" w:cstheme="majorBidi" w:eastAsiaTheme="majorEastAsia"/>
      <w:iCs/>
      <w:color w:themeColor="accent2" w:val="ED7D3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uiPriority w:val="9"/>
    <w:qFormat/>
    <w:rsid w:val="00375e0f"/>
    <w:rPr>
      <w:rFonts w:ascii="Tahoma" w:hAnsi="Tahoma" w:eastAsia="Tahoma" w:cs="Tahoma"/>
      <w:color w:val="5B9BD5"/>
      <w:sz w:val="32"/>
    </w:rPr>
  </w:style>
  <w:style w:type="character" w:styleId="Titre1Car" w:customStyle="1">
    <w:name w:val="Titre 1 Car"/>
    <w:uiPriority w:val="9"/>
    <w:qFormat/>
    <w:rsid w:val="00375e0f"/>
    <w:rPr>
      <w:rFonts w:ascii="Tahoma" w:hAnsi="Tahoma" w:eastAsia="Tahoma" w:cs="Tahoma"/>
      <w:color w:val="5B9BD5"/>
      <w:sz w:val="36"/>
    </w:rPr>
  </w:style>
  <w:style w:type="character" w:styleId="Hyperlink">
    <w:name w:val="Hyperlink"/>
    <w:basedOn w:val="DefaultParagraphFont"/>
    <w:uiPriority w:val="99"/>
    <w:unhideWhenUsed/>
    <w:rsid w:val="00a17b8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2684e"/>
    <w:rPr>
      <w:rFonts w:eastAsia="Tahoma"/>
      <w:color w:val="0033CC"/>
      <w:u w:val="single"/>
    </w:rPr>
  </w:style>
  <w:style w:type="character" w:styleId="Strong">
    <w:name w:val="Strong"/>
    <w:basedOn w:val="DefaultParagraphFont"/>
    <w:uiPriority w:val="22"/>
    <w:qFormat/>
    <w:rsid w:val="00843ef8"/>
    <w:rPr>
      <w:b/>
      <w:bCs/>
    </w:rPr>
  </w:style>
  <w:style w:type="character" w:styleId="TitreCar" w:customStyle="1">
    <w:name w:val="Titre Car"/>
    <w:basedOn w:val="DefaultParagraphFont"/>
    <w:uiPriority w:val="10"/>
    <w:qFormat/>
    <w:rsid w:val="00ab595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1d681b"/>
    <w:rPr>
      <w:i/>
      <w:iCs/>
      <w:color w:themeColor="accent1" w:val="5B9BD5"/>
    </w:rPr>
  </w:style>
  <w:style w:type="character" w:styleId="PieddepageCar" w:customStyle="1">
    <w:name w:val="Pied de page Car"/>
    <w:basedOn w:val="DefaultParagraphFont"/>
    <w:uiPriority w:val="99"/>
    <w:qFormat/>
    <w:rsid w:val="00f877b2"/>
    <w:rPr>
      <w:rFonts w:ascii="Times New Roman" w:hAnsi="Times New Roman" w:eastAsia="Times New Roman" w:cs="Times New Roman"/>
      <w:color w:val="000000"/>
      <w:sz w:val="24"/>
    </w:rPr>
  </w:style>
  <w:style w:type="character" w:styleId="marker" w:customStyle="1">
    <w:name w:val="marker"/>
    <w:basedOn w:val="DefaultParagraphFont"/>
    <w:qFormat/>
    <w:rsid w:val="00362923"/>
    <w:rPr/>
  </w:style>
  <w:style w:type="character" w:styleId="Titre3Car" w:customStyle="1">
    <w:name w:val="Titre 3 Car"/>
    <w:basedOn w:val="DefaultParagraphFont"/>
    <w:uiPriority w:val="9"/>
    <w:qFormat/>
    <w:rsid w:val="00375e0f"/>
    <w:rPr>
      <w:rFonts w:ascii="Tahoma" w:hAnsi="Tahoma" w:eastAsia="Tahoma" w:cs="Tahoma"/>
      <w:color w:themeColor="accent2" w:val="ED7D31"/>
      <w:sz w:val="28"/>
      <w:szCs w:val="24"/>
      <w:lang w:eastAsia="en-US"/>
    </w:rPr>
  </w:style>
  <w:style w:type="character" w:styleId="Mentionnonrsolue1" w:customStyle="1">
    <w:name w:val="Mention non résolue1"/>
    <w:basedOn w:val="DefaultParagraphFont"/>
    <w:uiPriority w:val="99"/>
    <w:semiHidden/>
    <w:unhideWhenUsed/>
    <w:qFormat/>
    <w:rsid w:val="00fd1f8f"/>
    <w:rPr>
      <w:color w:val="605E5C"/>
      <w:shd w:fill="E1DFDD" w:val="clear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dc26a5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Caractresdenotedebasdepage">
    <w:name w:val="Caractères de note de bas de page"/>
    <w:uiPriority w:val="99"/>
    <w:semiHidden/>
    <w:unhideWhenUsed/>
    <w:qFormat/>
    <w:rsid w:val="00dc26a5"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04b87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304b87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304b87"/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04b87"/>
    <w:rPr>
      <w:rFonts w:ascii="Segoe UI" w:hAnsi="Segoe UI" w:eastAsia="Times New Roman" w:cs="Segoe UI"/>
      <w:color w:val="000000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44aa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44aa6"/>
    <w:rPr>
      <w:i/>
      <w:iCs/>
      <w:color w:themeColor="text1" w:themeTint="bf" w:val="404040"/>
    </w:rPr>
  </w:style>
  <w:style w:type="character" w:styleId="Titre4Car" w:customStyle="1">
    <w:name w:val="Titre 4 Car"/>
    <w:basedOn w:val="DefaultParagraphFont"/>
    <w:uiPriority w:val="9"/>
    <w:qFormat/>
    <w:rsid w:val="00702785"/>
    <w:rPr>
      <w:rFonts w:ascii="Tahoma" w:hAnsi="Tahoma" w:eastAsia="" w:cs="" w:cstheme="majorBidi" w:eastAsiaTheme="majorEastAsia"/>
      <w:iCs/>
      <w:color w:themeColor="accent2" w:val="ED7D31"/>
      <w:sz w:val="24"/>
    </w:rPr>
  </w:style>
  <w:style w:type="character" w:styleId="BookTitle">
    <w:name w:val="Book Title"/>
    <w:basedOn w:val="DefaultParagraphFont"/>
    <w:uiPriority w:val="33"/>
    <w:qFormat/>
    <w:rsid w:val="00183dfc"/>
    <w:rPr>
      <w:b/>
      <w:bCs/>
      <w:i/>
      <w:iCs/>
      <w:spacing w:val="5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7438f"/>
    <w:rPr>
      <w:rFonts w:ascii="Corbel" w:hAnsi="Corbel" w:eastAsia="Times New Roman" w:cs="Times New Roman"/>
      <w:i/>
      <w:iCs/>
      <w:color w:themeColor="text1" w:themeTint="bf" w:val="404040"/>
      <w:sz w:val="24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205eb"/>
    <w:rPr>
      <w:color w:val="605E5C"/>
      <w:shd w:fill="E1DFDD" w:val="clear"/>
    </w:rPr>
  </w:style>
  <w:style w:type="character" w:styleId="En-tteCar" w:customStyle="1">
    <w:name w:val="En-tête Car"/>
    <w:basedOn w:val="DefaultParagraphFont"/>
    <w:uiPriority w:val="99"/>
    <w:semiHidden/>
    <w:qFormat/>
    <w:rsid w:val="00c450f0"/>
    <w:rPr>
      <w:rFonts w:ascii="Corbel" w:hAnsi="Corbel" w:eastAsia="Times New Roman" w:cs="Times New Roman"/>
      <w:color w:val="000000"/>
      <w:sz w:val="24"/>
    </w:rPr>
  </w:style>
  <w:style w:type="character" w:styleId="Sautdindex">
    <w:name w:val="Saut d'index"/>
    <w:qFormat/>
    <w:rPr/>
  </w:style>
  <w:style w:type="character" w:styleId="Caractresdenotedefin">
    <w:name w:val="Caractères de note de fin"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ab595c"/>
    <w:pPr>
      <w:spacing w:before="0" w:after="200"/>
      <w:ind w:hanging="0" w:left="0"/>
      <w:jc w:val="left"/>
    </w:pPr>
    <w:rPr>
      <w:rFonts w:eastAsia="Calibri" w:cs="" w:cstheme="minorBidi" w:eastAsiaTheme="minorHAnsi"/>
      <w:i/>
      <w:iCs/>
      <w:color w:themeColor="text2" w:val="44546A"/>
      <w:sz w:val="18"/>
      <w:szCs w:val="18"/>
      <w:lang w:eastAsia="en-US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stParagraph">
    <w:name w:val="List Paragraph"/>
    <w:basedOn w:val="Normal"/>
    <w:uiPriority w:val="34"/>
    <w:qFormat/>
    <w:rsid w:val="0012006c"/>
    <w:pPr>
      <w:spacing w:before="0" w:after="12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184e67"/>
    <w:pPr>
      <w:tabs>
        <w:tab w:val="clear" w:pos="708"/>
        <w:tab w:val="right" w:pos="9062" w:leader="dot"/>
      </w:tabs>
      <w:spacing w:before="0" w:after="100"/>
      <w:ind w:left="0"/>
    </w:pPr>
    <w:rPr/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95c"/>
    <w:pPr>
      <w:spacing w:lineRule="auto" w:line="247" w:before="240" w:after="0"/>
      <w:ind w:hanging="10" w:left="10" w:right="2"/>
      <w:jc w:val="both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itle">
    <w:name w:val="Title"/>
    <w:basedOn w:val="Normal"/>
    <w:next w:val="Normal"/>
    <w:link w:val="TitreCar"/>
    <w:uiPriority w:val="10"/>
    <w:qFormat/>
    <w:rsid w:val="00ab595c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tyleCorbelAutomatiqueGaucheGauche0cmPremireligne" w:customStyle="1">
    <w:name w:val="Style Corbel Automatique Gauche Gauche :  0 cm Première ligne :..."/>
    <w:basedOn w:val="Normal"/>
    <w:qFormat/>
    <w:rsid w:val="007773c6"/>
    <w:pPr>
      <w:spacing w:lineRule="auto" w:line="259"/>
      <w:ind w:hanging="0" w:left="0"/>
      <w:jc w:val="left"/>
    </w:pPr>
    <w:rPr>
      <w:color w:val="auto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73766"/>
    <w:pPr>
      <w:spacing w:before="0" w:after="100"/>
      <w:ind w:left="240"/>
    </w:pPr>
    <w:rPr/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f877b2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837787"/>
    <w:pPr>
      <w:spacing w:beforeAutospacing="1" w:afterAutospacing="1"/>
      <w:ind w:hanging="0" w:left="0"/>
      <w:jc w:val="left"/>
    </w:pPr>
    <w:rPr>
      <w:color w:val="auto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7442f"/>
    <w:pPr>
      <w:spacing w:before="0" w:after="100"/>
      <w:ind w:left="480"/>
    </w:pPr>
    <w:rPr/>
  </w:style>
  <w:style w:type="paragraph" w:styleId="FootnoteText">
    <w:name w:val="footnote text"/>
    <w:basedOn w:val="Normal"/>
    <w:link w:val="NotedebasdepageCar"/>
    <w:uiPriority w:val="99"/>
    <w:semiHidden/>
    <w:unhideWhenUsed/>
    <w:rsid w:val="00dc26a5"/>
    <w:pPr>
      <w:spacing w:before="0" w:after="0"/>
    </w:pPr>
    <w:rPr>
      <w:sz w:val="20"/>
      <w:szCs w:val="20"/>
    </w:rPr>
  </w:style>
  <w:style w:type="paragraph" w:styleId="CommentText">
    <w:name w:val="annotation text"/>
    <w:basedOn w:val="Normal"/>
    <w:link w:val="CommentaireCar"/>
    <w:uiPriority w:val="99"/>
    <w:semiHidden/>
    <w:unhideWhenUsed/>
    <w:rsid w:val="00304b8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304b87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04b87"/>
    <w:pPr>
      <w:spacing w:before="0" w:after="0"/>
    </w:pPr>
    <w:rPr>
      <w:rFonts w:ascii="Segoe UI" w:hAnsi="Segoe UI" w:cs="Segoe UI"/>
      <w:sz w:val="18"/>
      <w:szCs w:val="18"/>
    </w:rPr>
  </w:style>
  <w:style w:type="paragraph" w:styleId="Quote">
    <w:name w:val="Quote"/>
    <w:basedOn w:val="Normal"/>
    <w:next w:val="Normal"/>
    <w:link w:val="CitationCar"/>
    <w:uiPriority w:val="29"/>
    <w:qFormat/>
    <w:rsid w:val="0087438f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eader">
    <w:name w:val="header"/>
    <w:basedOn w:val="Normal"/>
    <w:link w:val="En-tteCar"/>
    <w:uiPriority w:val="99"/>
    <w:semiHidden/>
    <w:unhideWhenUsed/>
    <w:rsid w:val="00c450f0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Contenudecadreuser">
    <w:name w:val="Contenu de cadre (user)"/>
    <w:basedOn w:val="Normal"/>
    <w:qFormat/>
    <w:pPr/>
    <w:rPr/>
  </w:style>
  <w:style w:type="paragraph" w:styleId="En-ttegaucheuser">
    <w:name w:val="En-tête gauche (user)"/>
    <w:basedOn w:val="Header"/>
    <w:qFormat/>
    <w:pPr/>
    <w:rPr/>
  </w:style>
  <w:style w:type="paragraph" w:styleId="Commentaireuser">
    <w:name w:val="Commentaire (user)"/>
    <w:basedOn w:val="Normal"/>
    <w:qFormat/>
    <w:pPr>
      <w:spacing w:before="56" w:after="0"/>
      <w:ind w:left="56" w:right="56"/>
    </w:pPr>
    <w:rPr>
      <w:sz w:val="20"/>
      <w:szCs w:val="20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a17b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-Accentuation5">
    <w:name w:val="Grid Table 4 Accent 5"/>
    <w:basedOn w:val="TableauNormal"/>
    <w:uiPriority w:val="49"/>
    <w:rsid w:val="00091c61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b35bf7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doi.org/10.1162/qss_a_00286" TargetMode="External"/><Relationship Id="rId9" Type="http://schemas.openxmlformats.org/officeDocument/2006/relationships/hyperlink" Target="https://openalex.org/" TargetMode="External"/><Relationship Id="rId10" Type="http://schemas.openxmlformats.org/officeDocument/2006/relationships/hyperlink" Target="https://help.openalex.org/hc/en-us/articles/28951241521047-Can-I-search-exact-terms" TargetMode="External"/><Relationship Id="rId11" Type="http://schemas.openxmlformats.org/officeDocument/2006/relationships/hyperlink" Target="https://app.dimensions.ai/" TargetMode="External"/><Relationship Id="rId12" Type="http://schemas.openxmlformats.org/officeDocument/2006/relationships/hyperlink" Target="https://plus.dimensions.ai/support/solutions/articles/23000025193-what-s-the-difference-between-dimensions-free-and-dimensions-analytics-" TargetMode="External"/><Relationship Id="rId13" Type="http://schemas.openxmlformats.org/officeDocument/2006/relationships/hyperlink" Target="https://www.lens.org/lens/" TargetMode="External"/><Relationship Id="rId14" Type="http://schemas.openxmlformats.org/officeDocument/2006/relationships/hyperlink" Target="https://matilda.science/" TargetMode="Externa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1.jpeg"/><Relationship Id="rId4" Type="http://schemas.openxmlformats.org/officeDocument/2006/relationships/image" Target="media/image2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hyperlink" Target="https://creativecommons.org/licenses/by-sa/4.0/" TargetMode="External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hyperlink" Target="https://creativecommons.org/licenses/by-sa/4.0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D77AE-6CCD-4CDC-850E-AD5EB4AAB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Application>LibreOffice/26.2.1.2$Windows_X86_64 LibreOffice_project/620$Build-2</Application>
  <AppVersion>15.0000</AppVersion>
  <Pages>2</Pages>
  <Words>347</Words>
  <Characters>1917</Characters>
  <CharactersWithSpaces>2233</CharactersWithSpaces>
  <Paragraphs>42</Paragraphs>
  <Company>Direction de la Documentation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2023-03-29T08:03:00Z</dcterms:created>
  <dc:creator>Frédérique Flamerie</dc:creator>
  <dc:description/>
  <dc:language>fr-FR</dc:language>
  <cp:lastModifiedBy/>
  <cp:lastPrinted>2025-12-09T08:50:16Z</cp:lastPrinted>
  <dcterms:modified xsi:type="dcterms:W3CDTF">2026-05-05T09:10:57Z</dcterms:modified>
  <cp:revision>34</cp:revision>
  <dc:subject/>
  <dc:title>OpenAlex, Matilda et autres « bases de données hybrides 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