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360"/>
        <w:contextualSpacing/>
        <w:jc w:val="left"/>
        <w:rPr>
          <w:rFonts w:ascii="Tahoma" w:hAnsi="Tahoma" w:cs="Tahoma"/>
          <w:lang w:eastAsia="en-US"/>
        </w:r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418" w:right="1418" w:gutter="0" w:header="607" w:top="1520" w:footer="0" w:bottom="1701"/>
          <w:pgNumType w:fmt="decimal"/>
          <w:formProt w:val="false"/>
          <w:titlePg/>
          <w:textDirection w:val="lrTb"/>
          <w:docGrid w:type="default" w:linePitch="326" w:charSpace="0"/>
        </w:sectPr>
      </w:pPr>
      <w:r>
        <w:rPr>
          <w:rFonts w:cs="Tahoma" w:ascii="Tahoma" w:hAnsi="Tahoma"/>
          <w:lang w:eastAsia="en-US"/>
        </w:rPr>
        <w:t>Revues de littérature : focus bibliographique</w:t>
      </w:r>
    </w:p>
    <w:p>
      <w:pPr>
        <w:pStyle w:val="Heading1"/>
        <w:rPr>
          <w:lang w:eastAsia="en-US"/>
        </w:rPr>
      </w:pPr>
      <w:bookmarkStart w:id="0" w:name="_Toc166661520"/>
      <w:r>
        <w:rPr>
          <w:lang w:eastAsia="en-US"/>
        </w:rPr>
        <w:t>Logiciels spécialisés pour les revues de littérature</w:t>
      </w:r>
      <w:bookmarkEnd w:id="0"/>
    </w:p>
    <w:p>
      <w:pPr>
        <w:pStyle w:val="Normal"/>
        <w:rPr>
          <w:rFonts w:eastAsia="Calibri" w:eastAsiaTheme="minorHAnsi"/>
          <w:lang w:eastAsia="en-US"/>
        </w:rPr>
      </w:pPr>
      <w:r>
        <w:rPr>
          <w:rFonts w:eastAsia="Calibri" w:eastAsiaTheme="minorHAnsi"/>
          <w:lang w:eastAsia="en-US"/>
        </w:rPr>
        <w:t>Dans le cadre d’une revue de littérature narrative ou systématisée, les fonctionnalités d’un logiciel de gestion bibliographique peuvent suffire pour supprimer les doublons, coder les articles, etc.</w:t>
      </w:r>
    </w:p>
    <w:p>
      <w:pPr>
        <w:pStyle w:val="Normal"/>
        <w:rPr>
          <w:rFonts w:eastAsia="Calibri" w:eastAsiaTheme="minorHAnsi"/>
          <w:lang w:eastAsia="en-US"/>
        </w:rPr>
      </w:pPr>
      <w:r>
        <w:drawing>
          <wp:anchor distT="0" distB="0" distL="114300" distR="114300" simplePos="0" relativeHeight="3" behindDoc="0" locked="0" layoutInCell="0" allowOverlap="1">
            <wp:simplePos x="0" y="0"/>
            <wp:positionH relativeFrom="margin">
              <wp:posOffset>-43180</wp:posOffset>
            </wp:positionH>
            <wp:positionV relativeFrom="margin">
              <wp:posOffset>895985</wp:posOffset>
            </wp:positionV>
            <wp:extent cx="657225" cy="370205"/>
            <wp:effectExtent l="0" t="0" r="0" b="0"/>
            <wp:wrapSquare wrapText="bothSides"/>
            <wp:docPr id="13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10524" t="0" r="0" b="23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370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eastAsiaTheme="minorHAnsi"/>
          <w:lang w:eastAsia="en-US"/>
        </w:rPr>
        <w:t xml:space="preserve">Vous trouverez ci-dessous une brève sélection d’outils spécialisés pour les revues systématiques, du plus simple au plus sophistiqué. </w:t>
      </w:r>
      <w:hyperlink r:id="rId9" w:tgtFrame="_blank">
        <w:r>
          <w:rPr>
            <w:rStyle w:val="Hyperlink"/>
            <w:bCs/>
            <w:szCs w:val="24"/>
          </w:rPr>
          <w:t>Systematic Review Toolbox</w:t>
        </w:r>
      </w:hyperlink>
      <w:r>
        <w:rPr>
          <w:rFonts w:eastAsia="Calibri" w:eastAsiaTheme="minorHAnsi"/>
          <w:szCs w:val="24"/>
          <w:lang w:eastAsia="en-US"/>
        </w:rPr>
        <w:t xml:space="preserve"> </w:t>
      </w:r>
      <w:r>
        <w:rPr>
          <w:rFonts w:eastAsia="Calibri" w:eastAsiaTheme="minorHAnsi"/>
          <w:lang w:eastAsia="en-US"/>
        </w:rPr>
        <w:t>fournit un catalogue complet de tous les outils utilisables pour toutes les étapes d’une revue systématique.</w:t>
      </w:r>
    </w:p>
    <w:tbl>
      <w:tblPr>
        <w:tblStyle w:val="TableauGrille4-Accentuation1"/>
        <w:tblW w:w="14560" w:type="dxa"/>
        <w:jc w:val="left"/>
        <w:tblInd w:w="0" w:type="dxa"/>
        <w:tblLayout w:type="fixed"/>
        <w:tblCellMar>
          <w:top w:w="113" w:type="dxa"/>
          <w:left w:w="108" w:type="dxa"/>
          <w:bottom w:w="113" w:type="dxa"/>
          <w:right w:w="108" w:type="dxa"/>
        </w:tblCellMar>
        <w:tblLook w:firstRow="1" w:noVBand="1" w:lastRow="0" w:firstColumn="1" w:lastColumn="0" w:noHBand="0" w:val="04a0"/>
      </w:tblPr>
      <w:tblGrid>
        <w:gridCol w:w="1256"/>
        <w:gridCol w:w="6961"/>
        <w:gridCol w:w="634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1" w:val="clear"/>
          </w:tcPr>
          <w:p>
            <w:pPr>
              <w:pStyle w:val="Normal"/>
              <w:widowControl/>
              <w:suppressAutoHyphens w:val="true"/>
              <w:spacing w:before="0" w:after="0"/>
              <w:ind w:hanging="0" w:left="0"/>
              <w:contextualSpacing/>
              <w:jc w:val="center"/>
              <w:rPr>
                <w:rFonts w:eastAsia="Calibri" w:eastAsiaTheme="minorHAnsi"/>
                <w:sz w:val="20"/>
                <w:szCs w:val="20"/>
                <w:lang w:eastAsia="en-US"/>
              </w:rPr>
            </w:pPr>
            <w:r>
              <w:rPr>
                <w:rFonts w:eastAsia="Calibri" w:eastAsiaTheme="minorHAnsi"/>
                <w:b/>
                <w:bCs/>
                <w:color w:themeColor="background1" w:val="000000"/>
                <w:kern w:val="0"/>
                <w:sz w:val="20"/>
                <w:szCs w:val="20"/>
                <w:lang w:val="fr-FR" w:eastAsia="en-US" w:bidi="ar-SA"/>
              </w:rPr>
              <w:t>Nom</w:t>
            </w:r>
          </w:p>
        </w:tc>
        <w:tc>
          <w:tcPr>
            <w:tcW w:w="6961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1" w:val="clear"/>
          </w:tcPr>
          <w:p>
            <w:pPr>
              <w:pStyle w:val="Normal"/>
              <w:widowControl/>
              <w:suppressAutoHyphens w:val="true"/>
              <w:spacing w:before="0" w:after="0"/>
              <w:ind w:hanging="0" w:left="0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eastAsiaTheme="minorHAnsi"/>
                <w:sz w:val="20"/>
                <w:szCs w:val="20"/>
                <w:lang w:eastAsia="en-US"/>
              </w:rPr>
            </w:pPr>
            <w:r>
              <w:rPr>
                <w:rFonts w:eastAsia="Calibri" w:eastAsiaTheme="minorHAnsi"/>
                <w:b/>
                <w:bCs/>
                <w:color w:themeColor="background1" w:val="000000"/>
                <w:kern w:val="0"/>
                <w:sz w:val="20"/>
                <w:szCs w:val="20"/>
                <w:lang w:val="fr-FR" w:eastAsia="en-US" w:bidi="ar-SA"/>
              </w:rPr>
              <w:t>Caractéristiques</w:t>
            </w:r>
          </w:p>
        </w:tc>
        <w:tc>
          <w:tcPr>
            <w:tcW w:w="6343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1" w:val="clear"/>
          </w:tcPr>
          <w:p>
            <w:pPr>
              <w:pStyle w:val="Normal"/>
              <w:widowControl/>
              <w:suppressAutoHyphens w:val="true"/>
              <w:spacing w:before="0" w:after="0"/>
              <w:ind w:hanging="0" w:left="0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eastAsiaTheme="minorHAnsi"/>
                <w:sz w:val="20"/>
                <w:szCs w:val="20"/>
                <w:lang w:eastAsia="en-US"/>
              </w:rPr>
            </w:pPr>
            <w:r>
              <w:rPr>
                <w:rFonts w:eastAsia="Calibri" w:eastAsiaTheme="minorHAnsi"/>
                <w:b/>
                <w:bCs/>
                <w:color w:themeColor="background1" w:val="000000"/>
                <w:kern w:val="0"/>
                <w:sz w:val="20"/>
                <w:szCs w:val="20"/>
                <w:lang w:val="fr-FR" w:eastAsia="en-US" w:bidi="ar-SA"/>
              </w:rPr>
              <w:t>Coût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ind w:hanging="0" w:left="0"/>
              <w:jc w:val="left"/>
              <w:rPr>
                <w:b/>
                <w:bCs/>
              </w:rPr>
            </w:pPr>
            <w:hyperlink r:id="rId10">
              <w:r>
                <w:rPr>
                  <w:rStyle w:val="Hyperlink"/>
                  <w:b w:val="false"/>
                  <w:bCs w:val="false"/>
                  <w:kern w:val="0"/>
                  <w:sz w:val="20"/>
                  <w:szCs w:val="20"/>
                  <w:lang w:val="fr-FR" w:eastAsia="fr-FR" w:bidi="ar-SA"/>
                </w:rPr>
                <w:t>Rayyan</w:t>
              </w:r>
            </w:hyperlink>
          </w:p>
        </w:tc>
        <w:tc>
          <w:tcPr>
            <w:tcW w:w="6961" w:type="dxa"/>
            <w:tcBorders/>
            <w:shd w:color="auto" w:fill="DEEAF6" w:themeFill="accent1" w:themeFillTint="33" w:val="clear"/>
            <w:vAlign w:val="center"/>
          </w:tcPr>
          <w:p>
            <w:pPr>
              <w:pStyle w:val="ListParagraph"/>
              <w:widowControl/>
              <w:suppressAutoHyphens w:val="true"/>
              <w:spacing w:before="0" w:after="0"/>
              <w:ind w:hanging="0" w:left="29"/>
              <w:contextualSpacing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rbel" w:hAnsi="Corbel"/>
              </w:rPr>
            </w:pPr>
            <w:r>
              <w:rPr>
                <w:spacing w:val="4"/>
                <w:kern w:val="0"/>
                <w:sz w:val="20"/>
                <w:szCs w:val="20"/>
                <w:lang w:val="fr-FR" w:eastAsia="fr-FR" w:bidi="ar-SA"/>
              </w:rPr>
              <w:t xml:space="preserve">Version gratuite limitée aux fonctionnalités d’examen et de codage des études. Cette version gratuite n’inclut pas la </w:t>
            </w:r>
            <w:r>
              <w:rPr>
                <w:b/>
                <w:bCs/>
                <w:spacing w:val="4"/>
                <w:kern w:val="0"/>
                <w:sz w:val="20"/>
                <w:szCs w:val="20"/>
                <w:lang w:val="fr-FR" w:eastAsia="fr-FR" w:bidi="ar-SA"/>
              </w:rPr>
              <w:t>fusion par lot des doublons</w:t>
            </w:r>
            <w:r>
              <w:rPr>
                <w:spacing w:val="4"/>
                <w:kern w:val="0"/>
                <w:sz w:val="20"/>
                <w:szCs w:val="20"/>
                <w:lang w:val="fr-FR" w:eastAsia="fr-FR" w:bidi="ar-SA"/>
              </w:rPr>
              <w:t>.</w:t>
            </w:r>
          </w:p>
        </w:tc>
        <w:tc>
          <w:tcPr>
            <w:tcW w:w="6343" w:type="dxa"/>
            <w:tcBorders/>
            <w:shd w:color="auto" w:fill="DEEAF6" w:themeFill="accent1" w:themeFillTint="33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08"/>
                <w:tab w:val="decimal" w:pos="432" w:leader="none"/>
              </w:tabs>
              <w:suppressAutoHyphens w:val="true"/>
              <w:spacing w:before="0" w:after="0"/>
              <w:ind w:hanging="284" w:left="389" w:right="144"/>
              <w:contextualSpacing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rbel" w:hAnsi="Corbel"/>
              </w:rPr>
            </w:pPr>
            <w:r>
              <w:rPr>
                <w:b/>
                <w:spacing w:val="4"/>
                <w:kern w:val="0"/>
                <w:sz w:val="20"/>
                <w:szCs w:val="20"/>
                <w:lang w:val="fr-FR" w:eastAsia="fr-FR" w:bidi="ar-SA"/>
              </w:rPr>
              <w:t>Gratuit dans la limite de 3 revues actives et des fonctionnalités de base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08"/>
                <w:tab w:val="decimal" w:pos="432" w:leader="none"/>
              </w:tabs>
              <w:suppressAutoHyphens w:val="true"/>
              <w:spacing w:before="0" w:after="0"/>
              <w:ind w:hanging="284" w:left="389" w:right="144"/>
              <w:contextualSpacing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rbel" w:hAnsi="Corbel"/>
              </w:rPr>
            </w:pPr>
            <w:r>
              <w:rPr>
                <w:spacing w:val="4"/>
                <w:kern w:val="0"/>
                <w:sz w:val="20"/>
                <w:szCs w:val="20"/>
                <w:lang w:val="fr-FR" w:eastAsia="fr-FR" w:bidi="ar-SA"/>
              </w:rPr>
              <w:t>Abonnement institutionnel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08"/>
                <w:tab w:val="decimal" w:pos="432" w:leader="none"/>
              </w:tabs>
              <w:suppressAutoHyphens w:val="true"/>
              <w:spacing w:before="0" w:after="0"/>
              <w:ind w:hanging="284" w:left="389" w:right="144"/>
              <w:contextualSpacing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rbel" w:hAnsi="Corbel"/>
              </w:rPr>
            </w:pPr>
            <w:r>
              <w:rPr>
                <w:spacing w:val="4"/>
                <w:kern w:val="0"/>
                <w:sz w:val="20"/>
                <w:szCs w:val="20"/>
                <w:lang w:val="fr-FR" w:eastAsia="fr-FR" w:bidi="ar-SA"/>
              </w:rPr>
              <w:t xml:space="preserve">Abonnement individuel annuel à partir de : </w:t>
            </w:r>
            <w:r>
              <w:rPr>
                <w:b/>
                <w:spacing w:val="4"/>
                <w:kern w:val="0"/>
                <w:sz w:val="20"/>
                <w:szCs w:val="20"/>
                <w:lang w:val="fr-FR" w:eastAsia="fr-FR" w:bidi="ar-SA"/>
              </w:rPr>
              <w:t>$59.</w:t>
            </w:r>
            <w:r>
              <w:rPr>
                <w:b/>
                <w:spacing w:val="4"/>
                <w:kern w:val="0"/>
                <w:sz w:val="20"/>
                <w:szCs w:val="20"/>
                <w:lang w:val="fr-FR" w:eastAsia="fr-FR" w:bidi="ar-SA"/>
              </w:rPr>
              <w:t>88</w:t>
            </w:r>
            <w:r>
              <w:rPr>
                <w:b/>
                <w:spacing w:val="4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b w:val="false"/>
                <w:bCs w:val="false"/>
                <w:spacing w:val="4"/>
                <w:kern w:val="0"/>
                <w:sz w:val="20"/>
                <w:szCs w:val="20"/>
                <w:lang w:val="fr-FR" w:eastAsia="fr-FR" w:bidi="ar-SA"/>
              </w:rPr>
              <w:t>(</w:t>
            </w:r>
            <w:r>
              <w:rPr>
                <w:spacing w:val="4"/>
                <w:kern w:val="0"/>
                <w:sz w:val="20"/>
                <w:szCs w:val="20"/>
                <w:lang w:val="fr-FR" w:eastAsia="fr-FR" w:bidi="ar-SA"/>
              </w:rPr>
              <w:t>pour 3 revues actives, avec des fonctionnalités limitées)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ind w:hanging="0" w:left="0"/>
              <w:jc w:val="left"/>
              <w:rPr>
                <w:b/>
                <w:bCs/>
              </w:rPr>
            </w:pPr>
            <w:hyperlink r:id="rId11">
              <w:r>
                <w:rPr>
                  <w:rStyle w:val="Hyperlink"/>
                  <w:b w:val="false"/>
                  <w:bCs w:val="false"/>
                  <w:kern w:val="0"/>
                  <w:sz w:val="20"/>
                  <w:szCs w:val="20"/>
                  <w:lang w:val="fr-FR" w:eastAsia="fr-FR" w:bidi="ar-SA"/>
                </w:rPr>
                <w:t>PICO Portal</w:t>
              </w:r>
            </w:hyperlink>
          </w:p>
        </w:tc>
        <w:tc>
          <w:tcPr>
            <w:tcW w:w="6961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before="0" w:after="0"/>
              <w:ind w:hanging="0" w:left="29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rbel" w:hAnsi="Corbel"/>
              </w:rPr>
            </w:pPr>
            <w:r>
              <w:rPr>
                <w:color w:val="auto"/>
                <w:kern w:val="0"/>
                <w:sz w:val="20"/>
                <w:szCs w:val="20"/>
                <w:lang w:val="fr-FR" w:eastAsia="fr-FR" w:bidi="ar-SA"/>
              </w:rPr>
              <w:t>Diverses fonctionnalités telles que la recherche de PDF en libre accès, en plus des fonctionnalités de tri et d’analyse des études.</w:t>
            </w:r>
          </w:p>
        </w:tc>
        <w:tc>
          <w:tcPr>
            <w:tcW w:w="6343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decimal" w:pos="432" w:leader="none"/>
              </w:tabs>
              <w:suppressAutoHyphens w:val="true"/>
              <w:spacing w:before="0" w:after="0"/>
              <w:ind w:hanging="284" w:left="389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rbel" w:hAnsi="Corbel"/>
              </w:rPr>
            </w:pPr>
            <w:r>
              <w:rPr>
                <w:b/>
                <w:color w:val="auto"/>
                <w:kern w:val="0"/>
                <w:sz w:val="20"/>
                <w:szCs w:val="20"/>
                <w:lang w:val="fr-FR" w:eastAsia="fr-FR" w:bidi="ar-SA"/>
              </w:rPr>
              <w:t>Essai gratuit de 2 semaines</w:t>
            </w:r>
            <w:r>
              <w:rPr>
                <w:b/>
                <w:color w:val="auto"/>
                <w:kern w:val="0"/>
                <w:sz w:val="20"/>
                <w:szCs w:val="20"/>
                <w:lang w:val="fr-FR" w:eastAsia="fr-FR" w:bidi="ar-SA"/>
              </w:rPr>
              <w:t>, avec des fonctionnalités limitées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decimal" w:pos="432" w:leader="none"/>
              </w:tabs>
              <w:suppressAutoHyphens w:val="true"/>
              <w:spacing w:before="0" w:after="0"/>
              <w:ind w:hanging="284" w:left="389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rbel" w:hAnsi="Corbel"/>
              </w:rPr>
            </w:pPr>
            <w:r>
              <w:rPr>
                <w:color w:val="auto"/>
                <w:kern w:val="0"/>
                <w:sz w:val="20"/>
                <w:szCs w:val="20"/>
                <w:lang w:val="fr-FR" w:eastAsia="fr-FR" w:bidi="ar-SA"/>
              </w:rPr>
              <w:t>Abonnement institutionnel et par équipe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ind w:hanging="0" w:left="0"/>
              <w:jc w:val="left"/>
              <w:rPr>
                <w:b/>
                <w:bCs/>
              </w:rPr>
            </w:pPr>
            <w:hyperlink r:id="rId12">
              <w:r>
                <w:rPr>
                  <w:rStyle w:val="Hyperlink"/>
                  <w:b w:val="false"/>
                  <w:bCs w:val="false"/>
                  <w:kern w:val="0"/>
                  <w:sz w:val="20"/>
                  <w:szCs w:val="20"/>
                  <w:lang w:val="fr-FR" w:eastAsia="fr-FR" w:bidi="ar-SA"/>
                </w:rPr>
                <w:t>Covidence</w:t>
              </w:r>
            </w:hyperlink>
          </w:p>
        </w:tc>
        <w:tc>
          <w:tcPr>
            <w:tcW w:w="6961" w:type="dxa"/>
            <w:tcBorders/>
            <w:shd w:color="auto" w:fill="DEEAF6" w:themeFill="accent1" w:themeFillTint="33" w:val="clear"/>
            <w:vAlign w:val="center"/>
          </w:tcPr>
          <w:p>
            <w:pPr>
              <w:pStyle w:val="ListParagraph"/>
              <w:widowControl/>
              <w:suppressAutoHyphens w:val="true"/>
              <w:spacing w:before="0" w:after="0"/>
              <w:ind w:hanging="0" w:left="29"/>
              <w:contextualSpacing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rbel" w:hAnsi="Corbel"/>
              </w:rPr>
            </w:pPr>
            <w:r>
              <w:rPr>
                <w:color w:val="auto"/>
                <w:kern w:val="0"/>
                <w:sz w:val="20"/>
                <w:szCs w:val="20"/>
                <w:lang w:val="fr-FR" w:eastAsia="fr-FR" w:bidi="ar-SA"/>
              </w:rPr>
              <w:t>Prise en charge de l'examen des résumés et du texte intégral, de la complétion de tableaux de risques de biais et de l'extraction des données.</w:t>
            </w:r>
          </w:p>
        </w:tc>
        <w:tc>
          <w:tcPr>
            <w:tcW w:w="6343" w:type="dxa"/>
            <w:tcBorders/>
            <w:shd w:color="auto" w:fill="DEEAF6" w:themeFill="accent1" w:themeFillTint="33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decimal" w:pos="432" w:leader="none"/>
              </w:tabs>
              <w:suppressAutoHyphens w:val="true"/>
              <w:spacing w:before="0" w:after="0"/>
              <w:ind w:hanging="284" w:left="389"/>
              <w:contextualSpacing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rbel" w:hAnsi="Corbel"/>
              </w:rPr>
            </w:pPr>
            <w:r>
              <w:rPr>
                <w:b/>
                <w:color w:val="auto"/>
                <w:kern w:val="0"/>
                <w:sz w:val="20"/>
                <w:szCs w:val="20"/>
                <w:lang w:val="fr-FR" w:eastAsia="fr-FR" w:bidi="ar-SA"/>
              </w:rPr>
              <w:t>Version d’essai gratuite pour 1 revue de 500 références au maximum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decimal" w:pos="432" w:leader="none"/>
              </w:tabs>
              <w:suppressAutoHyphens w:val="true"/>
              <w:spacing w:before="0" w:after="0"/>
              <w:ind w:hanging="284" w:left="389"/>
              <w:contextualSpacing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rbel" w:hAnsi="Corbel"/>
              </w:rPr>
            </w:pPr>
            <w:r>
              <w:rPr>
                <w:color w:val="auto"/>
                <w:kern w:val="0"/>
                <w:sz w:val="20"/>
                <w:szCs w:val="20"/>
                <w:lang w:val="fr-FR" w:eastAsia="fr-FR" w:bidi="ar-SA"/>
              </w:rPr>
              <w:t>Abonnement institutionnel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decimal" w:pos="432" w:leader="none"/>
              </w:tabs>
              <w:suppressAutoHyphens w:val="true"/>
              <w:spacing w:before="0" w:after="0"/>
              <w:ind w:hanging="284" w:left="389"/>
              <w:contextualSpacing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rbel" w:hAnsi="Corbel"/>
              </w:rPr>
            </w:pPr>
            <w:r>
              <w:rPr>
                <w:color w:val="auto"/>
                <w:kern w:val="0"/>
                <w:sz w:val="20"/>
                <w:szCs w:val="20"/>
                <w:lang w:val="fr-FR" w:eastAsia="fr-FR" w:bidi="ar-SA"/>
              </w:rPr>
              <w:t xml:space="preserve">Abonnement individuel annuel à partir de : </w:t>
            </w:r>
            <w:r>
              <w:rPr>
                <w:b/>
                <w:spacing w:val="4"/>
                <w:kern w:val="0"/>
                <w:sz w:val="20"/>
                <w:szCs w:val="20"/>
                <w:lang w:val="fr-FR" w:eastAsia="fr-FR" w:bidi="ar-SA"/>
              </w:rPr>
              <w:t>$</w:t>
            </w:r>
            <w:r>
              <w:rPr>
                <w:b/>
                <w:spacing w:val="4"/>
                <w:kern w:val="0"/>
                <w:sz w:val="20"/>
                <w:szCs w:val="20"/>
                <w:lang w:val="fr-FR" w:eastAsia="fr-FR" w:bidi="ar-SA"/>
              </w:rPr>
              <w:t>33</w:t>
            </w:r>
            <w:r>
              <w:rPr>
                <w:b/>
                <w:spacing w:val="4"/>
                <w:kern w:val="0"/>
                <w:sz w:val="20"/>
                <w:szCs w:val="20"/>
                <w:lang w:val="fr-FR" w:eastAsia="fr-FR" w:bidi="ar-SA"/>
              </w:rPr>
              <w:t>9</w:t>
            </w:r>
            <w:r>
              <w:rPr>
                <w:spacing w:val="4"/>
                <w:kern w:val="0"/>
                <w:sz w:val="20"/>
                <w:szCs w:val="20"/>
                <w:lang w:val="fr-FR" w:eastAsia="fr-FR" w:bidi="ar-SA"/>
              </w:rPr>
              <w:t xml:space="preserve">  (pour 1 revue)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ind w:hanging="0" w:left="0"/>
              <w:jc w:val="left"/>
              <w:rPr>
                <w:b/>
                <w:bCs/>
              </w:rPr>
            </w:pPr>
            <w:hyperlink r:id="rId13">
              <w:r>
                <w:rPr>
                  <w:rStyle w:val="Hyperlink"/>
                  <w:b w:val="false"/>
                  <w:bCs w:val="false"/>
                  <w:color w:themeColor="hyperlink" w:val="auto"/>
                  <w:kern w:val="0"/>
                  <w:sz w:val="20"/>
                  <w:szCs w:val="20"/>
                  <w:lang w:val="fr-FR" w:eastAsia="fr-FR" w:bidi="ar-SA"/>
                </w:rPr>
                <w:t>RevMan</w:t>
              </w:r>
            </w:hyperlink>
          </w:p>
        </w:tc>
        <w:tc>
          <w:tcPr>
            <w:tcW w:w="6961" w:type="dxa"/>
            <w:tcBorders/>
            <w:vAlign w:val="center"/>
          </w:tcPr>
          <w:p>
            <w:pPr>
              <w:pStyle w:val="Commentaire"/>
              <w:widowControl/>
              <w:numPr>
                <w:ilvl w:val="0"/>
                <w:numId w:val="3"/>
              </w:numPr>
              <w:suppressAutoHyphens w:val="true"/>
              <w:spacing w:lineRule="auto" w:line="240" w:before="56" w:after="0"/>
              <w:ind w:hanging="170" w:left="340" w:right="56"/>
              <w:jc w:val="left"/>
              <w:rPr>
                <w:rFonts w:ascii="Corbel" w:hAnsi="Corbel" w:eastAsia="" w:cs=""/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" w:cs="" w:ascii="Calibri" w:hAnsi="Calibri"/>
                <w:kern w:val="0"/>
                <w:sz w:val="20"/>
                <w:szCs w:val="20"/>
                <w:lang w:val="fr-FR" w:eastAsia="fr-FR" w:bidi="ar-SA"/>
              </w:rPr>
              <w:t>Développé par Cochrane</w:t>
            </w:r>
          </w:p>
          <w:p>
            <w:pPr>
              <w:pStyle w:val="Commentaire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170" w:left="340" w:right="56"/>
              <w:jc w:val="left"/>
              <w:rPr>
                <w:rFonts w:ascii="Corbel" w:hAnsi="Corbel" w:eastAsia="" w:cs=""/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" w:cs="" w:ascii="Calibri" w:hAnsi="Calibri"/>
                <w:kern w:val="0"/>
                <w:sz w:val="20"/>
                <w:szCs w:val="20"/>
                <w:lang w:val="fr-FR" w:eastAsia="fr-FR" w:bidi="ar-SA"/>
              </w:rPr>
              <w:t>Prise en charge intégrée de toutes les étapes, y compris les méta-analyses et la rédaction du protocole et de la revue</w:t>
            </w:r>
          </w:p>
        </w:tc>
        <w:tc>
          <w:tcPr>
            <w:tcW w:w="6343" w:type="dxa"/>
            <w:tcBorders/>
            <w:vAlign w:val="center"/>
          </w:tcPr>
          <w:p>
            <w:pPr>
              <w:pStyle w:val="Commentaire"/>
              <w:widowControl/>
              <w:numPr>
                <w:ilvl w:val="0"/>
                <w:numId w:val="3"/>
              </w:numPr>
              <w:suppressAutoHyphens w:val="true"/>
              <w:spacing w:lineRule="auto" w:line="240" w:before="56" w:after="0"/>
              <w:ind w:hanging="170" w:left="340" w:right="56"/>
              <w:jc w:val="left"/>
              <w:rPr>
                <w:rFonts w:ascii="Corbel" w:hAnsi="Corbel" w:eastAsia="" w:cs=""/>
                <w:kern w:val="0"/>
                <w:sz w:val="20"/>
                <w:szCs w:val="20"/>
                <w:lang w:val="fr-FR" w:eastAsia="fr-FR" w:bidi="ar-SA"/>
              </w:rPr>
            </w:pPr>
            <w:r>
              <w:rPr>
                <w:rFonts w:eastAsia="" w:cs="" w:ascii="Calibri" w:hAnsi="Calibri"/>
                <w:kern w:val="0"/>
                <w:sz w:val="20"/>
                <w:szCs w:val="20"/>
                <w:lang w:val="fr-FR" w:eastAsia="fr-FR" w:bidi="ar-SA"/>
              </w:rPr>
              <w:t>Gratuit pour les revues Cochrane</w:t>
            </w:r>
          </w:p>
          <w:p>
            <w:pPr>
              <w:pStyle w:val="Commentaire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170" w:left="340" w:right="56"/>
              <w:jc w:val="left"/>
              <w:rPr>
                <w:rFonts w:ascii="Corbel" w:hAnsi="Corbel" w:eastAsia="" w:cs=""/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" w:cs="" w:ascii="Calibri" w:hAnsi="Calibri"/>
                <w:kern w:val="0"/>
                <w:sz w:val="20"/>
                <w:szCs w:val="20"/>
                <w:lang w:val="fr-FR" w:eastAsia="fr-FR" w:bidi="ar-SA"/>
              </w:rPr>
              <w:t>Abonnement institutionnel</w:t>
            </w:r>
          </w:p>
          <w:p>
            <w:pPr>
              <w:pStyle w:val="Commentaire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170" w:left="340" w:right="56"/>
              <w:jc w:val="left"/>
              <w:rPr>
                <w:rFonts w:ascii="Corbel" w:hAnsi="Corbel" w:eastAsia="" w:cs=""/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" w:cs="" w:ascii="Calibri" w:hAnsi="Calibri"/>
                <w:spacing w:val="11"/>
                <w:kern w:val="0"/>
                <w:sz w:val="20"/>
                <w:szCs w:val="20"/>
                <w:lang w:val="fr-FR" w:eastAsia="fr-FR" w:bidi="ar-SA"/>
              </w:rPr>
              <w:t xml:space="preserve">Abonnement individuel annuel à partir de : </w:t>
            </w:r>
            <w:r>
              <w:rPr>
                <w:rFonts w:eastAsia="" w:cs="" w:ascii="Calibri" w:hAnsi="Calibri"/>
                <w:b/>
                <w:spacing w:val="4"/>
                <w:kern w:val="0"/>
                <w:sz w:val="20"/>
                <w:szCs w:val="20"/>
                <w:lang w:val="fr-FR" w:eastAsia="fr-FR" w:bidi="ar-SA"/>
              </w:rPr>
              <w:t>£75</w:t>
            </w:r>
            <w:r>
              <w:rPr>
                <w:rFonts w:eastAsia="" w:cs="" w:ascii="Calibri" w:hAnsi="Calibri"/>
                <w:b w:val="false"/>
                <w:bCs w:val="false"/>
                <w:spacing w:val="4"/>
                <w:kern w:val="0"/>
                <w:sz w:val="20"/>
                <w:szCs w:val="20"/>
                <w:lang w:val="fr-FR" w:eastAsia="fr-FR" w:bidi="ar-SA"/>
              </w:rPr>
              <w:t xml:space="preserve"> (</w:t>
            </w:r>
            <w:r>
              <w:rPr>
                <w:rFonts w:eastAsia="" w:cs="" w:ascii="Calibri" w:hAnsi="Calibri"/>
                <w:spacing w:val="4"/>
                <w:kern w:val="0"/>
                <w:sz w:val="20"/>
                <w:szCs w:val="20"/>
                <w:lang w:val="fr-FR" w:eastAsia="fr-FR" w:bidi="ar-SA"/>
              </w:rPr>
              <w:t>tarif étudiant)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dxa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ind w:hanging="0" w:left="0"/>
              <w:jc w:val="left"/>
              <w:rPr>
                <w:b/>
                <w:bCs/>
              </w:rPr>
            </w:pPr>
            <w:hyperlink r:id="rId14">
              <w:r>
                <w:rPr>
                  <w:rStyle w:val="Hyperlink"/>
                  <w:b w:val="false"/>
                  <w:bCs w:val="false"/>
                  <w:kern w:val="0"/>
                  <w:sz w:val="20"/>
                  <w:szCs w:val="20"/>
                  <w:lang w:val="fr-FR" w:eastAsia="fr-FR" w:bidi="ar-SA"/>
                </w:rPr>
                <w:t>JBI SUMARI</w:t>
              </w:r>
            </w:hyperlink>
          </w:p>
        </w:tc>
        <w:tc>
          <w:tcPr>
            <w:tcW w:w="6961" w:type="dxa"/>
            <w:tcBorders/>
            <w:shd w:color="auto" w:fill="DEEAF6" w:themeFill="accent1" w:themeFillTint="33" w:val="clear"/>
            <w:vAlign w:val="center"/>
          </w:tcPr>
          <w:p>
            <w:pPr>
              <w:pStyle w:val="Commentaire"/>
              <w:widowControl/>
              <w:numPr>
                <w:ilvl w:val="0"/>
                <w:numId w:val="3"/>
              </w:numPr>
              <w:suppressAutoHyphens w:val="true"/>
              <w:spacing w:lineRule="auto" w:line="240" w:before="56" w:after="0"/>
              <w:ind w:hanging="170" w:left="340" w:right="56"/>
              <w:jc w:val="left"/>
              <w:rPr>
                <w:rFonts w:ascii="Corbel" w:hAnsi="Corbel" w:eastAsia="" w:cs=""/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" w:cs="" w:ascii="Calibri" w:hAnsi="Calibri"/>
                <w:kern w:val="0"/>
                <w:sz w:val="20"/>
                <w:szCs w:val="20"/>
                <w:lang w:val="fr-FR" w:eastAsia="fr-FR" w:bidi="ar-SA"/>
              </w:rPr>
              <w:t>Prise en charge intégrée de toutes les étapes pour 10 types de revue</w:t>
            </w:r>
          </w:p>
          <w:p>
            <w:pPr>
              <w:pStyle w:val="Commentaire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170" w:left="340" w:right="56"/>
              <w:jc w:val="left"/>
              <w:rPr>
                <w:rFonts w:ascii="Corbel" w:hAnsi="Corbel" w:eastAsia="" w:cs=""/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" w:cs="" w:ascii="Calibri" w:hAnsi="Calibri"/>
                <w:kern w:val="0"/>
                <w:sz w:val="20"/>
                <w:szCs w:val="20"/>
                <w:lang w:val="fr-FR" w:eastAsia="fr-FR" w:bidi="ar-SA"/>
              </w:rPr>
              <w:t>Plus spécifiquement utile pour les nouveaux types de revue et les revues qualitatives</w:t>
            </w:r>
          </w:p>
        </w:tc>
        <w:tc>
          <w:tcPr>
            <w:tcW w:w="6343" w:type="dxa"/>
            <w:tcBorders/>
            <w:shd w:color="auto" w:fill="DEEAF6" w:themeFill="accent1" w:themeFillTint="33" w:val="clear"/>
            <w:vAlign w:val="center"/>
          </w:tcPr>
          <w:p>
            <w:pPr>
              <w:pStyle w:val="Commentaire"/>
              <w:widowControl/>
              <w:numPr>
                <w:ilvl w:val="0"/>
                <w:numId w:val="3"/>
              </w:numPr>
              <w:suppressAutoHyphens w:val="true"/>
              <w:spacing w:lineRule="auto" w:line="240" w:before="56" w:after="0"/>
              <w:ind w:hanging="170" w:left="340" w:right="56"/>
              <w:jc w:val="left"/>
              <w:rPr>
                <w:rFonts w:ascii="Corbel" w:hAnsi="Corbel" w:eastAsia="" w:cs=""/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" w:cs="" w:ascii="Calibri" w:hAnsi="Calibri"/>
                <w:kern w:val="0"/>
                <w:sz w:val="20"/>
                <w:szCs w:val="20"/>
                <w:lang w:val="fr-FR" w:eastAsia="fr-FR" w:bidi="ar-SA"/>
              </w:rPr>
              <w:t>Essai gratuit de 14 jours</w:t>
            </w:r>
          </w:p>
          <w:p>
            <w:pPr>
              <w:pStyle w:val="Commentaire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170" w:left="340" w:right="56"/>
              <w:jc w:val="left"/>
              <w:rPr>
                <w:rFonts w:ascii="Corbel" w:hAnsi="Corbel" w:eastAsia="" w:cs=""/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" w:cs="" w:ascii="Calibri" w:hAnsi="Calibri"/>
                <w:kern w:val="0"/>
                <w:sz w:val="20"/>
                <w:szCs w:val="20"/>
                <w:lang w:val="fr-FR" w:eastAsia="fr-FR" w:bidi="ar-SA"/>
              </w:rPr>
              <w:t>Abonnement institutionnel</w:t>
            </w:r>
          </w:p>
          <w:p>
            <w:pPr>
              <w:pStyle w:val="Commentaire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170" w:left="340" w:right="56"/>
              <w:jc w:val="left"/>
              <w:rPr>
                <w:rFonts w:ascii="Corbel" w:hAnsi="Corbel" w:eastAsia="" w:cs=""/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" w:cs="" w:ascii="Calibri" w:hAnsi="Calibri"/>
                <w:spacing w:val="11"/>
                <w:kern w:val="0"/>
                <w:sz w:val="20"/>
                <w:szCs w:val="20"/>
                <w:lang w:val="fr-FR" w:eastAsia="fr-FR" w:bidi="ar-SA"/>
              </w:rPr>
              <w:t xml:space="preserve">Abonnement individuel annuel à partir de : </w:t>
            </w:r>
            <w:r>
              <w:rPr>
                <w:rFonts w:eastAsia="" w:cs="" w:ascii="Calibri" w:hAnsi="Calibri"/>
                <w:b/>
                <w:spacing w:val="4"/>
                <w:kern w:val="0"/>
                <w:sz w:val="20"/>
                <w:szCs w:val="20"/>
                <w:lang w:val="fr-FR" w:eastAsia="fr-FR" w:bidi="ar-SA"/>
              </w:rPr>
              <w:t>$130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ind w:hanging="0" w:left="0"/>
              <w:jc w:val="left"/>
              <w:rPr>
                <w:b/>
                <w:bCs/>
              </w:rPr>
            </w:pPr>
            <w:hyperlink r:id="rId15">
              <w:r>
                <w:rPr>
                  <w:rStyle w:val="Hyperlink"/>
                  <w:b w:val="false"/>
                  <w:bCs w:val="false"/>
                  <w:kern w:val="0"/>
                  <w:sz w:val="20"/>
                  <w:szCs w:val="20"/>
                  <w:lang w:val="fr-FR" w:eastAsia="fr-FR" w:bidi="ar-SA"/>
                </w:rPr>
                <w:t>DistillerSR</w:t>
              </w:r>
            </w:hyperlink>
          </w:p>
        </w:tc>
        <w:tc>
          <w:tcPr>
            <w:tcW w:w="6961" w:type="dxa"/>
            <w:tcBorders/>
            <w:vAlign w:val="center"/>
          </w:tcPr>
          <w:p>
            <w:pPr>
              <w:pStyle w:val="Commentaire"/>
              <w:widowControl/>
              <w:numPr>
                <w:ilvl w:val="0"/>
                <w:numId w:val="3"/>
              </w:numPr>
              <w:suppressAutoHyphens w:val="true"/>
              <w:spacing w:lineRule="auto" w:line="240" w:before="56" w:after="0"/>
              <w:ind w:hanging="170" w:left="340" w:right="56"/>
              <w:jc w:val="left"/>
              <w:rPr>
                <w:rFonts w:ascii="Corbel" w:hAnsi="Corbel" w:eastAsia="" w:cs=""/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" w:cs="" w:ascii="Calibri" w:hAnsi="Calibri"/>
                <w:kern w:val="0"/>
                <w:sz w:val="20"/>
                <w:szCs w:val="20"/>
                <w:lang w:val="fr-FR" w:eastAsia="fr-FR" w:bidi="ar-SA"/>
              </w:rPr>
              <w:t>Prise en charge de services complémentaires tels que la fourniture de documents en texte intégral</w:t>
            </w:r>
          </w:p>
          <w:p>
            <w:pPr>
              <w:pStyle w:val="Commentaire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170" w:left="340" w:right="56"/>
              <w:jc w:val="left"/>
              <w:rPr>
                <w:rFonts w:ascii="Corbel" w:hAnsi="Corbel" w:eastAsia="" w:cs=""/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" w:cs="" w:ascii="Calibri" w:hAnsi="Calibri"/>
                <w:kern w:val="0"/>
                <w:sz w:val="20"/>
                <w:szCs w:val="20"/>
                <w:lang w:val="fr-FR" w:eastAsia="fr-FR" w:bidi="ar-SA"/>
              </w:rPr>
              <w:t>Modules complémentaires pour catégoriser automatiquement les références ou mettre à jour une revue par l’import automatique de nouvelles références</w:t>
            </w:r>
          </w:p>
        </w:tc>
        <w:tc>
          <w:tcPr>
            <w:tcW w:w="6343" w:type="dxa"/>
            <w:tcBorders/>
            <w:vAlign w:val="center"/>
          </w:tcPr>
          <w:p>
            <w:pPr>
              <w:pStyle w:val="Commentaire"/>
              <w:widowControl/>
              <w:numPr>
                <w:ilvl w:val="0"/>
                <w:numId w:val="3"/>
              </w:numPr>
              <w:suppressAutoHyphens w:val="true"/>
              <w:spacing w:lineRule="auto" w:line="240" w:before="56" w:after="0"/>
              <w:ind w:hanging="170" w:left="340" w:right="56"/>
              <w:jc w:val="left"/>
              <w:rPr>
                <w:rFonts w:ascii="Corbel" w:hAnsi="Corbel" w:eastAsia="" w:cs=""/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" w:cs="" w:ascii="Calibri" w:hAnsi="Calibri"/>
                <w:kern w:val="0"/>
                <w:sz w:val="20"/>
                <w:szCs w:val="20"/>
                <w:lang w:val="fr-FR" w:eastAsia="fr-FR" w:bidi="ar-SA"/>
              </w:rPr>
              <w:t>Abonnement institutionnel</w:t>
            </w:r>
          </w:p>
          <w:p>
            <w:pPr>
              <w:pStyle w:val="Commentaire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170" w:left="340" w:right="56"/>
              <w:jc w:val="left"/>
              <w:rPr>
                <w:rFonts w:ascii="Corbel" w:hAnsi="Corbel" w:eastAsia="" w:cs=""/>
                <w:kern w:val="0"/>
                <w:sz w:val="22"/>
                <w:szCs w:val="22"/>
                <w:lang w:val="fr-FR" w:eastAsia="fr-FR" w:bidi="ar-SA"/>
              </w:rPr>
            </w:pPr>
            <w:r>
              <w:rPr>
                <w:rFonts w:eastAsia="" w:cs="" w:ascii="Calibri" w:hAnsi="Calibri"/>
                <w:spacing w:val="11"/>
                <w:kern w:val="0"/>
                <w:sz w:val="20"/>
                <w:szCs w:val="20"/>
                <w:lang w:val="fr-FR" w:eastAsia="fr-FR" w:bidi="ar-SA"/>
              </w:rPr>
              <w:t xml:space="preserve">Abonnement individuel annuel à partir de : </w:t>
            </w:r>
            <w:r>
              <w:rPr>
                <w:rFonts w:eastAsia="" w:cs="" w:ascii="Calibri" w:hAnsi="Calibri"/>
                <w:b/>
                <w:spacing w:val="4"/>
                <w:kern w:val="0"/>
                <w:sz w:val="20"/>
                <w:szCs w:val="20"/>
                <w:lang w:val="fr-FR" w:eastAsia="fr-FR" w:bidi="ar-SA"/>
              </w:rPr>
              <w:t>$240</w:t>
            </w:r>
            <w:r>
              <w:rPr>
                <w:rFonts w:eastAsia="" w:cs="" w:ascii="Calibri" w:hAnsi="Calibri"/>
                <w:spacing w:val="4"/>
                <w:kern w:val="0"/>
                <w:sz w:val="20"/>
                <w:szCs w:val="20"/>
                <w:lang w:val="fr-FR" w:eastAsia="fr-FR" w:bidi="ar-SA"/>
              </w:rPr>
              <w:t xml:space="preserve"> (tarif pour 3 comptes étudiants, avec des fonctionnalités limitées)</w:t>
            </w:r>
            <w:bookmarkStart w:id="1" w:name="_Toc64634427"/>
            <w:bookmarkEnd w:id="1"/>
          </w:p>
        </w:tc>
      </w:tr>
    </w:tbl>
    <w:p>
      <w:pPr>
        <w:pStyle w:val="Normal"/>
        <w:spacing w:before="0" w:after="160"/>
        <w:ind w:hanging="0" w:left="0"/>
        <w:jc w:val="left"/>
        <w:rPr>
          <w:rFonts w:eastAsia="Calibri" w:cs="" w:cstheme="minorBidi" w:eastAsiaTheme="minorHAnsi"/>
          <w:color w:val="auto"/>
          <w:sz w:val="22"/>
          <w:lang w:eastAsia="en-US"/>
        </w:rPr>
      </w:pPr>
      <w:r>
        <w:rPr>
          <w:rFonts w:eastAsia="Calibri" w:cs="" w:cstheme="minorBidi" w:eastAsiaTheme="minorHAnsi"/>
          <w:color w:val="auto"/>
          <w:sz w:val="22"/>
          <w:lang w:eastAsia="en-US"/>
        </w:rPr>
      </w:r>
    </w:p>
    <w:sectPr>
      <w:headerReference w:type="even" r:id="rId16"/>
      <w:headerReference w:type="default" r:id="rId17"/>
      <w:headerReference w:type="first" r:id="rId18"/>
      <w:footerReference w:type="even" r:id="rId19"/>
      <w:footerReference w:type="default" r:id="rId20"/>
      <w:footerReference w:type="first" r:id="rId21"/>
      <w:type w:val="nextPage"/>
      <w:pgSz w:orient="landscape" w:w="16838" w:h="11906"/>
      <w:pgMar w:left="1134" w:right="1134" w:gutter="0" w:header="607" w:top="1021" w:footer="340" w:bottom="680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orbel">
    <w:charset w:val="00"/>
    <w:family w:val="swiss"/>
    <w:pitch w:val="variable"/>
  </w:font>
  <w:font w:name="Tahoma">
    <w:charset w:val="00"/>
    <w:family w:val="swiss"/>
    <w:pitch w:val="variable"/>
  </w:font>
  <w:font w:name="Calibri Light">
    <w:charset w:val="00"/>
    <w:family w:val="roman"/>
    <w:pitch w:val="variable"/>
  </w:font>
  <w:font w:name="Segoe UI">
    <w:charset w:val="00"/>
    <w:family w:val="swiss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hanging="0" w:left="-1419" w:right="10492"/>
      <w:jc w:val="left"/>
      <w:rPr/>
    </w:pPr>
    <w:r>
      <w:rPr/>
      <mc:AlternateContent>
        <mc:Choice Requires="wpg">
          <w:drawing>
            <wp:anchor distT="0" distB="0" distL="108585" distR="111760" simplePos="0" relativeHeight="2" behindDoc="1" locked="0" layoutInCell="0" allowOverlap="1" wp14:anchorId="0978648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945" cy="957580"/>
              <wp:effectExtent l="0" t="0" r="0" b="0"/>
              <wp:wrapSquare wrapText="bothSides"/>
              <wp:docPr id="1" name="Group 5697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1080" cy="957600"/>
                        <a:chOff x="0" y="0"/>
                        <a:chExt cx="7561080" cy="957600"/>
                      </a:xfrm>
                    </wpg:grpSpPr>
                    <wps:wsp>
                      <wps:cNvPr id="2" name="Rectangle 5702"/>
                      <wps:cNvSpPr/>
                      <wps:spPr>
                        <a:xfrm>
                          <a:off x="3509640" y="511920"/>
                          <a:ext cx="373320" cy="143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59" w:before="0" w:after="160"/>
                              <w:ind w:hanging="0" w:left="0"/>
                              <w:jc w:val="left"/>
                              <w:rPr/>
                            </w:pPr>
                            <w:r>
                              <w:rPr>
                                <w:rFonts w:eastAsia="Tahoma" w:cs="Tahoma" w:ascii="Tahoma" w:hAnsi="Tahoma"/>
                                <w:sz w:val="18"/>
                              </w:rPr>
                              <w:t xml:space="preserve">Page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3" name="Rectangle 5703"/>
                      <wps:cNvSpPr/>
                      <wps:spPr>
                        <a:xfrm>
                          <a:off x="3793320" y="511920"/>
                          <a:ext cx="92160" cy="143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59" w:before="0" w:after="160"/>
                              <w:ind w:hanging="0" w:left="0"/>
                              <w:jc w:val="left"/>
                              <w:rPr/>
                            </w:pP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PAGE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0</w:t>
                            </w:r>
                            <w:r>
                              <w:rPr/>
                              <w:fldChar w:fldCharType="end"/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4" name="Rectangle 5704"/>
                      <wps:cNvSpPr/>
                      <wps:spPr>
                        <a:xfrm>
                          <a:off x="3867120" y="511920"/>
                          <a:ext cx="43200" cy="143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59" w:before="0" w:after="160"/>
                              <w:ind w:hanging="0" w:left="0"/>
                              <w:jc w:val="left"/>
                              <w:rPr/>
                            </w:pPr>
                            <w:r>
                              <w:rPr>
                                <w:rFonts w:eastAsia="Tahoma" w:cs="Tahoma" w:ascii="Tahoma" w:hAnsi="Tahoma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5" name="Rectangle 5705"/>
                      <wps:cNvSpPr/>
                      <wps:spPr>
                        <a:xfrm>
                          <a:off x="3902040" y="511920"/>
                          <a:ext cx="102240" cy="143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59" w:before="0" w:after="160"/>
                              <w:ind w:hanging="0" w:left="0"/>
                              <w:jc w:val="left"/>
                              <w:rPr/>
                            </w:pPr>
                            <w:r>
                              <w:rPr>
                                <w:rFonts w:eastAsia="Tahoma" w:cs="Tahoma" w:ascii="Tahoma" w:hAnsi="Tahoma"/>
                                <w:sz w:val="18"/>
                              </w:rPr>
                              <w:t xml:space="preserve">/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6" name="Rectangle 5706"/>
                      <wps:cNvSpPr/>
                      <wps:spPr>
                        <a:xfrm>
                          <a:off x="3981600" y="511920"/>
                          <a:ext cx="92160" cy="143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59" w:before="0" w:after="160"/>
                              <w:ind w:hanging="0" w:left="0"/>
                              <w:jc w:val="left"/>
                              <w:rPr/>
                            </w:pP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NUMPAGES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2</w:t>
                            </w:r>
                            <w:r>
                              <w:rPr/>
                              <w:fldChar w:fldCharType="end"/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7" name="Rectangle 5707"/>
                      <wps:cNvSpPr/>
                      <wps:spPr>
                        <a:xfrm>
                          <a:off x="4056480" y="511920"/>
                          <a:ext cx="43200" cy="143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59" w:before="0" w:after="160"/>
                              <w:ind w:hanging="0" w:left="0"/>
                              <w:jc w:val="left"/>
                              <w:rPr/>
                            </w:pPr>
                            <w:r>
                              <w:rPr>
                                <w:rFonts w:eastAsia="Tahoma" w:cs="Tahoma" w:ascii="Tahoma" w:hAnsi="Tahoma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8" name="Rectangle 5708"/>
                      <wps:cNvSpPr/>
                      <wps:spPr>
                        <a:xfrm>
                          <a:off x="901080" y="623520"/>
                          <a:ext cx="41760" cy="201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59" w:before="0" w:after="160"/>
                              <w:ind w:hanging="0" w:left="0"/>
                              <w:jc w:val="left"/>
                              <w:rPr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9" name="Shape 5698"/>
                      <wps:cNvSpPr/>
                      <wps:spPr>
                        <a:xfrm>
                          <a:off x="0" y="0"/>
                          <a:ext cx="7561080" cy="198720"/>
                        </a:xfrm>
                        <a:custGeom>
                          <a:avLst/>
                          <a:gdLst>
                            <a:gd name="textAreaLeft" fmla="*/ 0 w 4286520"/>
                            <a:gd name="textAreaRight" fmla="*/ 4288680 w 4286520"/>
                            <a:gd name="textAreaTop" fmla="*/ 0 h 112680"/>
                            <a:gd name="textAreaBottom" fmla="*/ 114840 h 1126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560564" h="202933">
                              <a:moveTo>
                                <a:pt x="0" y="0"/>
                              </a:moveTo>
                              <a:lnTo>
                                <a:pt x="7560564" y="185377"/>
                              </a:lnTo>
                              <a:lnTo>
                                <a:pt x="7560564" y="202933"/>
                              </a:lnTo>
                              <a:lnTo>
                                <a:pt x="0" y="20293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3A3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0" name="Shape 5699"/>
                      <wps:cNvSpPr/>
                      <wps:spPr>
                        <a:xfrm>
                          <a:off x="0" y="114480"/>
                          <a:ext cx="7561080" cy="97200"/>
                        </a:xfrm>
                        <a:custGeom>
                          <a:avLst/>
                          <a:gdLst>
                            <a:gd name="textAreaLeft" fmla="*/ 0 w 4286520"/>
                            <a:gd name="textAreaRight" fmla="*/ 4288680 w 4286520"/>
                            <a:gd name="textAreaTop" fmla="*/ 0 h 55080"/>
                            <a:gd name="textAreaBottom" fmla="*/ 57240 h 550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560564" h="101460">
                              <a:moveTo>
                                <a:pt x="0" y="0"/>
                              </a:moveTo>
                              <a:lnTo>
                                <a:pt x="7560564" y="90219"/>
                              </a:lnTo>
                              <a:lnTo>
                                <a:pt x="7560564" y="101460"/>
                              </a:lnTo>
                              <a:lnTo>
                                <a:pt x="0" y="1014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DE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1" name="Picture 5700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6110640" y="351720"/>
                          <a:ext cx="1344240" cy="539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2" name="Picture 5701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57240" y="418320"/>
                          <a:ext cx="1539720" cy="539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shape_0" alt="Group 5697" style="position:absolute;margin-left:0pt;margin-top:0pt;width:595.35pt;height:75.4pt" coordorigin="0,0" coordsize="11907,1508">
              <v:rect id="shape_0" stroked="f" o:allowincell="f" style="position:absolute;left:5527;top:806;width:587;height:225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spacing w:lineRule="auto" w:line="259" w:before="0" w:after="160"/>
                        <w:ind w:hanging="0" w:left="0"/>
                        <w:jc w:val="left"/>
                        <w:rPr/>
                      </w:pPr>
                      <w:r>
                        <w:rPr>
                          <w:rFonts w:eastAsia="Tahoma" w:cs="Tahoma" w:ascii="Tahoma" w:hAnsi="Tahoma"/>
                          <w:sz w:val="18"/>
                        </w:rPr>
                        <w:t xml:space="preserve">Page </w:t>
                      </w:r>
                    </w:p>
                  </w:txbxContent>
                </v:textbox>
                <w10:wrap type="square"/>
              </v:rect>
              <v:rect id="shape_0" stroked="f" o:allowincell="f" style="position:absolute;left:5974;top:806;width:144;height:225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spacing w:lineRule="auto" w:line="259" w:before="0" w:after="160"/>
                        <w:ind w:hanging="0" w:left="0"/>
                        <w:jc w:val="left"/>
                        <w:rPr/>
                      </w:pPr>
                      <w:r>
                        <w:rPr/>
                        <w:fldChar w:fldCharType="begin"/>
                      </w:r>
                      <w:r>
                        <w:rPr/>
                        <w:instrText xml:space="preserve"> PAGE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0</w:t>
                      </w:r>
                      <w:r>
                        <w:rPr/>
                        <w:fldChar w:fldCharType="end"/>
                      </w:r>
                    </w:p>
                  </w:txbxContent>
                </v:textbox>
                <w10:wrap type="square"/>
              </v:rect>
              <v:rect id="shape_0" stroked="f" o:allowincell="f" style="position:absolute;left:6090;top:806;width:67;height:225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spacing w:lineRule="auto" w:line="259" w:before="0" w:after="160"/>
                        <w:ind w:hanging="0" w:left="0"/>
                        <w:jc w:val="left"/>
                        <w:rPr/>
                      </w:pPr>
                      <w:r>
                        <w:rPr>
                          <w:rFonts w:eastAsia="Tahoma" w:cs="Tahoma" w:ascii="Tahoma" w:hAnsi="Tahoma"/>
                          <w:sz w:val="18"/>
                        </w:rPr>
                        <w:t xml:space="preserve"> </w:t>
                      </w:r>
                    </w:p>
                  </w:txbxContent>
                </v:textbox>
                <w10:wrap type="square"/>
              </v:rect>
              <v:rect id="shape_0" stroked="f" o:allowincell="f" style="position:absolute;left:6145;top:806;width:160;height:225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spacing w:lineRule="auto" w:line="259" w:before="0" w:after="160"/>
                        <w:ind w:hanging="0" w:left="0"/>
                        <w:jc w:val="left"/>
                        <w:rPr/>
                      </w:pPr>
                      <w:r>
                        <w:rPr>
                          <w:rFonts w:eastAsia="Tahoma" w:cs="Tahoma" w:ascii="Tahoma" w:hAnsi="Tahoma"/>
                          <w:sz w:val="18"/>
                        </w:rPr>
                        <w:t xml:space="preserve">/ </w:t>
                      </w:r>
                    </w:p>
                  </w:txbxContent>
                </v:textbox>
                <w10:wrap type="square"/>
              </v:rect>
              <v:rect id="shape_0" stroked="f" o:allowincell="f" style="position:absolute;left:6270;top:806;width:144;height:225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spacing w:lineRule="auto" w:line="259" w:before="0" w:after="160"/>
                        <w:ind w:hanging="0" w:left="0"/>
                        <w:jc w:val="left"/>
                        <w:rPr/>
                      </w:pPr>
                      <w:r>
                        <w:rPr/>
                        <w:fldChar w:fldCharType="begin"/>
                      </w:r>
                      <w:r>
                        <w:rPr/>
                        <w:instrText xml:space="preserve"> NUMPAGES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2</w:t>
                      </w:r>
                      <w:r>
                        <w:rPr/>
                        <w:fldChar w:fldCharType="end"/>
                      </w:r>
                    </w:p>
                  </w:txbxContent>
                </v:textbox>
                <w10:wrap type="square"/>
              </v:rect>
              <v:rect id="shape_0" stroked="f" o:allowincell="f" style="position:absolute;left:6388;top:806;width:67;height:225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spacing w:lineRule="auto" w:line="259" w:before="0" w:after="160"/>
                        <w:ind w:hanging="0" w:left="0"/>
                        <w:jc w:val="left"/>
                        <w:rPr/>
                      </w:pPr>
                      <w:r>
                        <w:rPr>
                          <w:rFonts w:eastAsia="Tahoma" w:cs="Tahoma" w:ascii="Tahoma" w:hAnsi="Tahoma"/>
                          <w:sz w:val="18"/>
                        </w:rPr>
                        <w:t xml:space="preserve"> </w:t>
                      </w:r>
                    </w:p>
                  </w:txbxContent>
                </v:textbox>
                <w10:wrap type="square"/>
              </v:rect>
              <v:rect id="shape_0" stroked="f" o:allowincell="f" style="position:absolute;left:1419;top:982;width:65;height:31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spacing w:lineRule="auto" w:line="259" w:before="0" w:after="160"/>
                        <w:ind w:hanging="0" w:left="0"/>
                        <w:jc w:val="left"/>
                        <w:rPr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  <w10:wrap type="square"/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left:9623;top:554;width:2116;height:848;mso-wrap-style:none;v-text-anchor:middle;mso-position-horizontal-relative:page;mso-position-vertical-relative:page" type="_x0000_t75">
                <v:imagedata r:id="rId3" o:detectmouseclick="t"/>
                <v:stroke color="#3465a4" joinstyle="round" endcap="flat"/>
                <w10:wrap type="square"/>
              </v:shape>
              <v:shape id="shape_0" stroked="f" o:allowincell="f" style="position:absolute;left:90;top:659;width:2424;height:848;mso-wrap-style:none;v-text-anchor:middle;mso-position-horizontal-relative:page;mso-position-vertical-relative:page" type="_x0000_t75">
                <v:imagedata r:id="rId4" o:detectmouseclick="t"/>
                <v:stroke color="#3465a4" joinstyle="round" endcap="flat"/>
                <w10:wrap type="square"/>
              </v:shape>
            </v:group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728636285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t xml:space="preserve">Page </w:t>
        </w:r>
        <w:r>
          <w:rPr>
            <w:b/>
            <w:bCs/>
            <w:szCs w:val="24"/>
          </w:rPr>
          <w:fldChar w:fldCharType="begin"/>
        </w:r>
        <w:r>
          <w:rPr>
            <w:b/>
            <w:bCs/>
            <w:szCs w:val="24"/>
          </w:rPr>
          <w:instrText xml:space="preserve"> PAGE </w:instrText>
        </w:r>
        <w:r>
          <w:rPr>
            <w:b/>
            <w:bCs/>
            <w:szCs w:val="24"/>
          </w:rPr>
          <w:fldChar w:fldCharType="separate"/>
        </w:r>
        <w:r>
          <w:rPr>
            <w:b/>
            <w:bCs/>
            <w:szCs w:val="24"/>
          </w:rPr>
          <w:t>0</w:t>
        </w:r>
        <w:r>
          <w:rPr>
            <w:b/>
            <w:bCs/>
            <w:szCs w:val="24"/>
          </w:rPr>
          <w:fldChar w:fldCharType="end"/>
        </w:r>
        <w:r>
          <w:rPr/>
          <w:t xml:space="preserve"> sur </w:t>
        </w:r>
        <w:r>
          <w:rPr>
            <w:b/>
            <w:bCs/>
            <w:szCs w:val="24"/>
          </w:rPr>
          <w:fldChar w:fldCharType="begin"/>
        </w:r>
        <w:r>
          <w:rPr>
            <w:b/>
            <w:bCs/>
            <w:szCs w:val="24"/>
          </w:rPr>
          <w:instrText xml:space="preserve"> NUMPAGES </w:instrText>
        </w:r>
        <w:r>
          <w:rPr>
            <w:b/>
            <w:bCs/>
            <w:szCs w:val="24"/>
          </w:rPr>
          <w:fldChar w:fldCharType="separate"/>
        </w:r>
        <w:r>
          <w:rPr>
            <w:b/>
            <w:bCs/>
            <w:szCs w:val="24"/>
          </w:rPr>
          <w:t>2</w:t>
        </w:r>
        <w:r>
          <w:rPr>
            <w:b/>
            <w:bCs/>
            <w:szCs w:val="24"/>
          </w:rPr>
          <w:fldChar w:fldCharType="end"/>
        </w:r>
      </w:p>
    </w:sdtContent>
  </w:sdt>
  <w:p>
    <w:pPr>
      <w:pStyle w:val="Normal"/>
      <w:spacing w:lineRule="auto" w:line="259" w:before="0" w:after="0"/>
      <w:ind w:hanging="0" w:left="-1419" w:right="10492"/>
      <w:jc w:val="lef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728636285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jc w:val="center"/>
          <w:rPr>
            <w:b/>
            <w:bCs/>
            <w:szCs w:val="24"/>
          </w:rPr>
        </w:pPr>
        <w:r>
          <w:rPr>
            <w:b/>
            <w:bCs/>
            <w:szCs w:val="24"/>
          </w:rPr>
        </w:r>
      </w:p>
      <w:p>
        <w:pPr>
          <w:pStyle w:val="Footer"/>
          <w:jc w:val="center"/>
          <w:rPr>
            <w:b/>
            <w:bCs/>
            <w:szCs w:val="24"/>
          </w:rPr>
        </w:pPr>
        <w:r>
          <w:rPr>
            <w:b/>
            <w:bCs/>
            <w:szCs w:val="24"/>
          </w:rPr>
        </w:r>
      </w:p>
    </w:sdtContent>
  </w:sdt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256446741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jc w:val="center"/>
          <w:rPr>
            <w:b/>
            <w:bCs/>
            <w:szCs w:val="24"/>
          </w:rPr>
        </w:pPr>
        <w:r>
          <w:rPr>
            <w:b/>
            <w:bCs/>
            <w:szCs w:val="24"/>
          </w:rPr>
        </w:r>
      </w:p>
    </w:sdtContent>
  </w:sdt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256446741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jc w:val="center"/>
          <w:rPr>
            <w:b/>
            <w:bCs/>
            <w:szCs w:val="24"/>
          </w:rPr>
        </w:pPr>
        <w:r>
          <w:rPr>
            <w:b/>
            <w:bCs/>
            <w:szCs w:val="24"/>
          </w:rPr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35" w:before="0" w:after="0"/>
      <w:ind w:hanging="0" w:left="0" w:right="4167"/>
      <w:jc w:val="left"/>
      <w:rPr/>
    </w:pPr>
    <w:r>
      <w:rPr>
        <w:rFonts w:eastAsia="Tahoma" w:cs="Tahoma" w:ascii="Tahoma" w:hAnsi="Tahoma"/>
        <w:color w:val="3B3838"/>
        <w:sz w:val="18"/>
      </w:rPr>
      <w:t xml:space="preserve">Fiche : Recherche bibliographique - sélection d’outils Dernière mise à jour : 2020-12-09 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35" w:before="0" w:after="0"/>
      <w:ind w:hanging="0" w:left="0" w:right="2407"/>
      <w:jc w:val="left"/>
      <w:rPr/>
    </w:pPr>
    <w:r>
      <w:rPr>
        <w:rFonts w:eastAsia="Tahoma" w:cs="Tahoma" w:ascii="Tahoma" w:hAnsi="Tahoma"/>
        <w:color w:val="3B3838"/>
        <w:sz w:val="18"/>
      </w:rPr>
      <w:t xml:space="preserve">Fiche : Revue de littérature en santé : focus bibliographique - màj : 2024-05-15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35" w:before="0" w:after="0"/>
      <w:ind w:hanging="0" w:left="0" w:right="4167"/>
      <w:jc w:val="left"/>
      <w:rPr>
        <w:rFonts w:ascii="Tahoma" w:hAnsi="Tahoma" w:eastAsia="Tahoma" w:cs="Tahoma"/>
        <w:color w:val="3B3838"/>
        <w:sz w:val="18"/>
      </w:rPr>
    </w:pPr>
    <w:r>
      <w:rPr>
        <w:rFonts w:eastAsia="Tahoma" w:cs="Tahoma" w:ascii="Tahoma" w:hAnsi="Tahoma"/>
        <w:color w:val="3B3838"/>
        <w:sz w:val="18"/>
      </w:rPr>
      <w:t xml:space="preserve">Fiche : Revue de littérature : focus bibliographique </w:t>
    </w:r>
  </w:p>
  <w:p>
    <w:pPr>
      <w:pStyle w:val="Normal"/>
      <w:spacing w:lineRule="auto" w:line="235" w:before="0" w:after="0"/>
      <w:ind w:hanging="0" w:left="0" w:right="1699"/>
      <w:jc w:val="left"/>
      <w:rPr>
        <w:rFonts w:ascii="Tahoma" w:hAnsi="Tahoma" w:eastAsia="Tahoma" w:cs="Tahoma"/>
        <w:color w:val="3B3838"/>
        <w:sz w:val="18"/>
      </w:rPr>
    </w:pPr>
    <w:r>
      <w:rPr>
        <w:rFonts w:eastAsia="Tahoma" w:cs="Tahoma" w:ascii="Tahoma" w:hAnsi="Tahoma"/>
        <w:color w:val="3B3838"/>
        <w:sz w:val="18"/>
      </w:rPr>
      <w:t xml:space="preserve">Auteur : Frédérique Flamerie - mise à disposition sous licence </w:t>
    </w:r>
    <w:hyperlink r:id="rId1">
      <w:r>
        <w:rPr>
          <w:rStyle w:val="Hyperlink"/>
          <w:rFonts w:eastAsia="Tahoma" w:cs="Tahoma" w:ascii="Tahoma" w:hAnsi="Tahoma"/>
          <w:sz w:val="18"/>
        </w:rPr>
        <w:t>CC BY-SA</w:t>
      </w:r>
    </w:hyperlink>
  </w:p>
  <w:p>
    <w:pPr>
      <w:pStyle w:val="Normal"/>
      <w:spacing w:lineRule="auto" w:line="235" w:before="0" w:after="0"/>
      <w:ind w:hanging="0" w:left="0" w:right="4167"/>
      <w:jc w:val="left"/>
      <w:rPr/>
    </w:pPr>
    <w:r>
      <w:rPr>
        <w:rFonts w:eastAsia="Tahoma" w:cs="Tahoma" w:ascii="Tahoma" w:hAnsi="Tahoma"/>
        <w:color w:val="3B3838"/>
        <w:sz w:val="18"/>
      </w:rPr>
      <w:t xml:space="preserve">Dernière mise à jour : 2025-09-16 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35" w:before="0" w:after="0"/>
      <w:ind w:hanging="0" w:left="0" w:right="2407"/>
      <w:jc w:val="left"/>
      <w:rPr/>
    </w:pPr>
    <w:r>
      <w:rPr>
        <w:rFonts w:eastAsia="Tahoma" w:cs="Tahoma" w:ascii="Tahoma" w:hAnsi="Tahoma"/>
        <w:color w:val="3B3838"/>
        <w:sz w:val="18"/>
      </w:rPr>
      <w:t xml:space="preserve">Auteur : Frédérique Flamerie - mise à disposition sous licence </w:t>
    </w:r>
    <w:hyperlink r:id="rId1">
      <w:r>
        <w:rPr>
          <w:rStyle w:val="Hyperlink"/>
          <w:rFonts w:eastAsia="Tahoma" w:cs="Tahoma" w:ascii="Tahoma" w:hAnsi="Tahoma"/>
          <w:color w:val="3B3838"/>
          <w:sz w:val="18"/>
        </w:rPr>
        <w:t>CC BY-SA</w:t>
      </w:r>
    </w:hyperlink>
    <w:r>
      <w:rPr>
        <w:rFonts w:eastAsia="Tahoma" w:cs="Tahoma" w:ascii="Tahoma" w:hAnsi="Tahoma"/>
        <w:color w:val="3B3838"/>
        <w:sz w:val="18"/>
      </w:rPr>
      <w:t xml:space="preserve"> - màj 202</w:t>
    </w:r>
    <w:r>
      <w:rPr>
        <w:rFonts w:eastAsia="Tahoma" w:cs="Tahoma" w:ascii="Tahoma" w:hAnsi="Tahoma"/>
        <w:color w:val="3B3838"/>
        <w:sz w:val="18"/>
      </w:rPr>
      <w:t>6</w:t>
    </w:r>
    <w:r>
      <w:rPr>
        <w:rFonts w:eastAsia="Tahoma" w:cs="Tahoma" w:ascii="Tahoma" w:hAnsi="Tahoma"/>
        <w:color w:val="3B3838"/>
        <w:sz w:val="18"/>
      </w:rPr>
      <w:t>-0</w:t>
    </w:r>
    <w:r>
      <w:rPr>
        <w:rFonts w:eastAsia="Tahoma" w:cs="Tahoma" w:ascii="Tahoma" w:hAnsi="Tahoma"/>
        <w:color w:val="3B3838"/>
        <w:sz w:val="18"/>
      </w:rPr>
      <w:t>5</w:t>
    </w:r>
    <w:r>
      <w:rPr>
        <w:rFonts w:eastAsia="Tahoma" w:cs="Tahoma" w:ascii="Tahoma" w:hAnsi="Tahoma"/>
        <w:color w:val="3B3838"/>
        <w:sz w:val="18"/>
      </w:rPr>
      <w:t>-</w:t>
    </w:r>
    <w:r>
      <w:rPr>
        <w:rFonts w:eastAsia="Tahoma" w:cs="Tahoma" w:ascii="Tahoma" w:hAnsi="Tahoma"/>
        <w:color w:val="3B3838"/>
        <w:sz w:val="18"/>
      </w:rPr>
      <w:t>05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35" w:before="0" w:after="0"/>
      <w:ind w:hanging="0" w:left="0" w:right="2407"/>
      <w:jc w:val="left"/>
      <w:rPr/>
    </w:pPr>
    <w:r>
      <w:rPr>
        <w:rFonts w:eastAsia="Tahoma" w:cs="Tahoma" w:ascii="Tahoma" w:hAnsi="Tahoma"/>
        <w:color w:val="3B3838"/>
        <w:sz w:val="18"/>
      </w:rPr>
      <w:t xml:space="preserve">Auteur : Frédérique Flamerie - mise à disposition sous licence </w:t>
    </w:r>
    <w:hyperlink r:id="rId1">
      <w:r>
        <w:rPr>
          <w:rStyle w:val="Hyperlink"/>
          <w:rFonts w:eastAsia="Tahoma" w:cs="Tahoma" w:ascii="Tahoma" w:hAnsi="Tahoma"/>
          <w:color w:val="3B3838"/>
          <w:sz w:val="18"/>
        </w:rPr>
        <w:t>CC BY-SA</w:t>
      </w:r>
    </w:hyperlink>
    <w:r>
      <w:rPr>
        <w:rFonts w:eastAsia="Tahoma" w:cs="Tahoma" w:ascii="Tahoma" w:hAnsi="Tahoma"/>
        <w:color w:val="3B3838"/>
        <w:sz w:val="18"/>
      </w:rPr>
      <w:t xml:space="preserve"> - màj 202</w:t>
    </w:r>
    <w:r>
      <w:rPr>
        <w:rFonts w:eastAsia="Tahoma" w:cs="Tahoma" w:ascii="Tahoma" w:hAnsi="Tahoma"/>
        <w:color w:val="3B3838"/>
        <w:sz w:val="18"/>
      </w:rPr>
      <w:t>6</w:t>
    </w:r>
    <w:r>
      <w:rPr>
        <w:rFonts w:eastAsia="Tahoma" w:cs="Tahoma" w:ascii="Tahoma" w:hAnsi="Tahoma"/>
        <w:color w:val="3B3838"/>
        <w:sz w:val="18"/>
      </w:rPr>
      <w:t>-0</w:t>
    </w:r>
    <w:r>
      <w:rPr>
        <w:rFonts w:eastAsia="Tahoma" w:cs="Tahoma" w:ascii="Tahoma" w:hAnsi="Tahoma"/>
        <w:color w:val="3B3838"/>
        <w:sz w:val="18"/>
      </w:rPr>
      <w:t>5</w:t>
    </w:r>
    <w:r>
      <w:rPr>
        <w:rFonts w:eastAsia="Tahoma" w:cs="Tahoma" w:ascii="Tahoma" w:hAnsi="Tahoma"/>
        <w:color w:val="3B3838"/>
        <w:sz w:val="18"/>
      </w:rPr>
      <w:t>-</w:t>
    </w:r>
    <w:r>
      <w:rPr>
        <w:rFonts w:eastAsia="Tahoma" w:cs="Tahoma" w:ascii="Tahoma" w:hAnsi="Tahoma"/>
        <w:color w:val="3B3838"/>
        <w:sz w:val="18"/>
      </w:rPr>
      <w:t>05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104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6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48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0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2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4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6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08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07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104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6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48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0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2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4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6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08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07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340"/>
        </w:tabs>
        <w:ind w:left="340" w:hanging="17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fr-FR" w:eastAsia="fr-F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2684e"/>
    <w:pPr>
      <w:widowControl/>
      <w:suppressAutoHyphens w:val="true"/>
      <w:bidi w:val="0"/>
      <w:spacing w:lineRule="auto" w:line="240" w:before="0" w:after="120"/>
      <w:ind w:hanging="11" w:left="11"/>
      <w:jc w:val="both"/>
    </w:pPr>
    <w:rPr>
      <w:rFonts w:ascii="Corbel" w:hAnsi="Corbel" w:eastAsia="Times New Roman" w:cs="Times New Roman"/>
      <w:color w:val="000000"/>
      <w:kern w:val="0"/>
      <w:sz w:val="24"/>
      <w:szCs w:val="22"/>
      <w:lang w:val="fr-FR" w:eastAsia="fr-FR" w:bidi="ar-SA"/>
    </w:rPr>
  </w:style>
  <w:style w:type="paragraph" w:styleId="Heading1">
    <w:name w:val="heading 1"/>
    <w:next w:val="Normal"/>
    <w:link w:val="Titre1Car"/>
    <w:uiPriority w:val="9"/>
    <w:unhideWhenUsed/>
    <w:qFormat/>
    <w:rsid w:val="00375e0f"/>
    <w:pPr>
      <w:keepNext w:val="true"/>
      <w:keepLines/>
      <w:widowControl/>
      <w:suppressAutoHyphens w:val="true"/>
      <w:bidi w:val="0"/>
      <w:spacing w:lineRule="auto" w:line="247" w:before="0" w:after="240"/>
      <w:ind w:hanging="11" w:left="11"/>
      <w:jc w:val="left"/>
      <w:outlineLvl w:val="0"/>
    </w:pPr>
    <w:rPr>
      <w:rFonts w:ascii="Tahoma" w:hAnsi="Tahoma" w:eastAsia="Tahoma" w:cs="Tahoma"/>
      <w:color w:val="5B9BD5"/>
      <w:kern w:val="0"/>
      <w:sz w:val="36"/>
      <w:szCs w:val="22"/>
      <w:lang w:val="fr-FR" w:eastAsia="fr-FR" w:bidi="ar-SA"/>
    </w:rPr>
  </w:style>
  <w:style w:type="paragraph" w:styleId="Heading2">
    <w:name w:val="heading 2"/>
    <w:next w:val="Normal"/>
    <w:link w:val="Titre2Car"/>
    <w:uiPriority w:val="9"/>
    <w:unhideWhenUsed/>
    <w:qFormat/>
    <w:rsid w:val="00375e0f"/>
    <w:pPr>
      <w:keepNext w:val="true"/>
      <w:keepLines/>
      <w:widowControl/>
      <w:suppressAutoHyphens w:val="true"/>
      <w:bidi w:val="0"/>
      <w:spacing w:lineRule="auto" w:line="240" w:before="240" w:after="240"/>
      <w:ind w:hanging="11" w:left="11"/>
      <w:jc w:val="left"/>
      <w:outlineLvl w:val="1"/>
    </w:pPr>
    <w:rPr>
      <w:rFonts w:ascii="Tahoma" w:hAnsi="Tahoma" w:eastAsia="Tahoma" w:cs="Tahoma"/>
      <w:color w:val="5B9BD5"/>
      <w:kern w:val="0"/>
      <w:sz w:val="32"/>
      <w:szCs w:val="22"/>
      <w:lang w:val="fr-FR" w:eastAsia="fr-FR" w:bidi="ar-SA"/>
    </w:rPr>
  </w:style>
  <w:style w:type="paragraph" w:styleId="Heading3">
    <w:name w:val="heading 3"/>
    <w:next w:val="Normal"/>
    <w:link w:val="Titre3Car"/>
    <w:uiPriority w:val="9"/>
    <w:unhideWhenUsed/>
    <w:qFormat/>
    <w:rsid w:val="00375e0f"/>
    <w:pPr>
      <w:widowControl/>
      <w:suppressAutoHyphens w:val="true"/>
      <w:bidi w:val="0"/>
      <w:spacing w:lineRule="auto" w:line="240" w:before="0" w:after="180"/>
      <w:ind w:hanging="11" w:left="11"/>
      <w:jc w:val="left"/>
      <w:outlineLvl w:val="2"/>
    </w:pPr>
    <w:rPr>
      <w:rFonts w:ascii="Tahoma" w:hAnsi="Tahoma" w:eastAsia="Tahoma" w:cs="Tahoma"/>
      <w:color w:themeColor="accent2" w:val="ED7D31"/>
      <w:kern w:val="0"/>
      <w:sz w:val="28"/>
      <w:szCs w:val="24"/>
      <w:lang w:val="fr-FR" w:eastAsia="en-US" w:bidi="ar-SA"/>
    </w:rPr>
  </w:style>
  <w:style w:type="paragraph" w:styleId="Heading4">
    <w:name w:val="heading 4"/>
    <w:basedOn w:val="Normal"/>
    <w:next w:val="Normal"/>
    <w:link w:val="Titre4Car"/>
    <w:uiPriority w:val="9"/>
    <w:unhideWhenUsed/>
    <w:qFormat/>
    <w:rsid w:val="00702785"/>
    <w:pPr>
      <w:keepNext w:val="true"/>
      <w:keepLines/>
      <w:spacing w:before="40" w:after="120"/>
      <w:outlineLvl w:val="3"/>
    </w:pPr>
    <w:rPr>
      <w:rFonts w:ascii="Tahoma" w:hAnsi="Tahoma" w:eastAsia="" w:cs="" w:cstheme="majorBidi" w:eastAsiaTheme="majorEastAsia"/>
      <w:iCs/>
      <w:color w:themeColor="accent2" w:val="ED7D3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2Car" w:customStyle="1">
    <w:name w:val="Titre 2 Car"/>
    <w:uiPriority w:val="9"/>
    <w:qFormat/>
    <w:rsid w:val="00375e0f"/>
    <w:rPr>
      <w:rFonts w:ascii="Tahoma" w:hAnsi="Tahoma" w:eastAsia="Tahoma" w:cs="Tahoma"/>
      <w:color w:val="5B9BD5"/>
      <w:sz w:val="32"/>
    </w:rPr>
  </w:style>
  <w:style w:type="character" w:styleId="Titre1Car" w:customStyle="1">
    <w:name w:val="Titre 1 Car"/>
    <w:uiPriority w:val="9"/>
    <w:qFormat/>
    <w:rsid w:val="00375e0f"/>
    <w:rPr>
      <w:rFonts w:ascii="Tahoma" w:hAnsi="Tahoma" w:eastAsia="Tahoma" w:cs="Tahoma"/>
      <w:color w:val="5B9BD5"/>
      <w:sz w:val="36"/>
    </w:rPr>
  </w:style>
  <w:style w:type="character" w:styleId="Hyperlink">
    <w:name w:val="Hyperlink"/>
    <w:basedOn w:val="DefaultParagraphFont"/>
    <w:uiPriority w:val="99"/>
    <w:unhideWhenUsed/>
    <w:rsid w:val="00a17b83"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e2684e"/>
    <w:rPr>
      <w:rFonts w:eastAsia="Tahoma"/>
      <w:color w:val="0033CC"/>
      <w:u w:val="single"/>
    </w:rPr>
  </w:style>
  <w:style w:type="character" w:styleId="Strong">
    <w:name w:val="Strong"/>
    <w:basedOn w:val="DefaultParagraphFont"/>
    <w:uiPriority w:val="22"/>
    <w:qFormat/>
    <w:rsid w:val="00843ef8"/>
    <w:rPr>
      <w:b/>
      <w:bCs/>
    </w:rPr>
  </w:style>
  <w:style w:type="character" w:styleId="TitreCar" w:customStyle="1">
    <w:name w:val="Titre Car"/>
    <w:basedOn w:val="DefaultParagraphFont"/>
    <w:uiPriority w:val="10"/>
    <w:qFormat/>
    <w:rsid w:val="00ab595c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IntenseEmphasis">
    <w:name w:val="Intense Emphasis"/>
    <w:basedOn w:val="DefaultParagraphFont"/>
    <w:uiPriority w:val="21"/>
    <w:qFormat/>
    <w:rsid w:val="001d681b"/>
    <w:rPr>
      <w:i/>
      <w:iCs/>
      <w:color w:themeColor="accent1" w:val="5B9BD5"/>
    </w:rPr>
  </w:style>
  <w:style w:type="character" w:styleId="PieddepageCar" w:customStyle="1">
    <w:name w:val="Pied de page Car"/>
    <w:basedOn w:val="DefaultParagraphFont"/>
    <w:uiPriority w:val="99"/>
    <w:qFormat/>
    <w:rsid w:val="00f877b2"/>
    <w:rPr>
      <w:rFonts w:ascii="Times New Roman" w:hAnsi="Times New Roman" w:eastAsia="Times New Roman" w:cs="Times New Roman"/>
      <w:color w:val="000000"/>
      <w:sz w:val="24"/>
    </w:rPr>
  </w:style>
  <w:style w:type="character" w:styleId="marker" w:customStyle="1">
    <w:name w:val="marker"/>
    <w:basedOn w:val="DefaultParagraphFont"/>
    <w:qFormat/>
    <w:rsid w:val="00362923"/>
    <w:rPr/>
  </w:style>
  <w:style w:type="character" w:styleId="Titre3Car" w:customStyle="1">
    <w:name w:val="Titre 3 Car"/>
    <w:basedOn w:val="DefaultParagraphFont"/>
    <w:uiPriority w:val="9"/>
    <w:qFormat/>
    <w:rsid w:val="00375e0f"/>
    <w:rPr>
      <w:rFonts w:ascii="Tahoma" w:hAnsi="Tahoma" w:eastAsia="Tahoma" w:cs="Tahoma"/>
      <w:color w:themeColor="accent2" w:val="ED7D31"/>
      <w:sz w:val="28"/>
      <w:szCs w:val="24"/>
      <w:lang w:eastAsia="en-US"/>
    </w:rPr>
  </w:style>
  <w:style w:type="character" w:styleId="Mentionnonrsolue1" w:customStyle="1">
    <w:name w:val="Mention non résolue1"/>
    <w:basedOn w:val="DefaultParagraphFont"/>
    <w:uiPriority w:val="99"/>
    <w:semiHidden/>
    <w:unhideWhenUsed/>
    <w:qFormat/>
    <w:rsid w:val="00fd1f8f"/>
    <w:rPr>
      <w:color w:val="605E5C"/>
      <w:shd w:fill="E1DFDD" w:val="clear"/>
    </w:rPr>
  </w:style>
  <w:style w:type="character" w:styleId="NotedebasdepageCar" w:customStyle="1">
    <w:name w:val="Note de bas de page Car"/>
    <w:basedOn w:val="DefaultParagraphFont"/>
    <w:uiPriority w:val="99"/>
    <w:semiHidden/>
    <w:qFormat/>
    <w:rsid w:val="00dc26a5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styleId="Caractresdenotedebasdepage">
    <w:name w:val="Caractères de note de bas de page"/>
    <w:uiPriority w:val="99"/>
    <w:semiHidden/>
    <w:unhideWhenUsed/>
    <w:qFormat/>
    <w:rsid w:val="00dc26a5"/>
    <w:rPr>
      <w:vertAlign w:val="superscript"/>
    </w:rPr>
  </w:style>
  <w:style w:type="character" w:styleId="Caractresdenotedebasdepageuser">
    <w:name w:val="Caractères de note de bas de page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304b87"/>
    <w:rPr>
      <w:sz w:val="16"/>
      <w:szCs w:val="16"/>
    </w:rPr>
  </w:style>
  <w:style w:type="character" w:styleId="CommentaireCar" w:customStyle="1">
    <w:name w:val="Commentaire Car"/>
    <w:basedOn w:val="DefaultParagraphFont"/>
    <w:uiPriority w:val="99"/>
    <w:semiHidden/>
    <w:qFormat/>
    <w:rsid w:val="00304b87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styleId="ObjetducommentaireCar" w:customStyle="1">
    <w:name w:val="Objet du commentaire Car"/>
    <w:basedOn w:val="CommentaireCar"/>
    <w:link w:val="annotationsubject"/>
    <w:uiPriority w:val="99"/>
    <w:semiHidden/>
    <w:qFormat/>
    <w:rsid w:val="00304b87"/>
    <w:rPr>
      <w:rFonts w:ascii="Times New Roman" w:hAnsi="Times New Roman" w:eastAsia="Times New Roman" w:cs="Times New Roman"/>
      <w:b/>
      <w:bCs/>
      <w:color w:val="000000"/>
      <w:sz w:val="20"/>
      <w:szCs w:val="20"/>
    </w:rPr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304b87"/>
    <w:rPr>
      <w:rFonts w:ascii="Segoe UI" w:hAnsi="Segoe UI" w:eastAsia="Times New Roman" w:cs="Segoe UI"/>
      <w:color w:val="000000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344aa6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344aa6"/>
    <w:rPr>
      <w:i/>
      <w:iCs/>
      <w:color w:themeColor="text1" w:themeTint="bf" w:val="404040"/>
    </w:rPr>
  </w:style>
  <w:style w:type="character" w:styleId="Titre4Car" w:customStyle="1">
    <w:name w:val="Titre 4 Car"/>
    <w:basedOn w:val="DefaultParagraphFont"/>
    <w:uiPriority w:val="9"/>
    <w:qFormat/>
    <w:rsid w:val="00702785"/>
    <w:rPr>
      <w:rFonts w:ascii="Tahoma" w:hAnsi="Tahoma" w:eastAsia="" w:cs="" w:cstheme="majorBidi" w:eastAsiaTheme="majorEastAsia"/>
      <w:iCs/>
      <w:color w:themeColor="accent2" w:val="ED7D31"/>
      <w:sz w:val="24"/>
    </w:rPr>
  </w:style>
  <w:style w:type="character" w:styleId="BookTitle">
    <w:name w:val="Book Title"/>
    <w:basedOn w:val="DefaultParagraphFont"/>
    <w:uiPriority w:val="33"/>
    <w:qFormat/>
    <w:rsid w:val="00183dfc"/>
    <w:rPr>
      <w:b/>
      <w:bCs/>
      <w:i/>
      <w:iCs/>
      <w:spacing w:val="5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87438f"/>
    <w:rPr>
      <w:rFonts w:ascii="Corbel" w:hAnsi="Corbel" w:eastAsia="Times New Roman" w:cs="Times New Roman"/>
      <w:i/>
      <w:iCs/>
      <w:color w:themeColor="text1" w:themeTint="bf" w:val="404040"/>
      <w:sz w:val="24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2205eb"/>
    <w:rPr>
      <w:color w:val="605E5C"/>
      <w:shd w:fill="E1DFDD" w:val="clear"/>
    </w:rPr>
  </w:style>
  <w:style w:type="character" w:styleId="En-tteCar" w:customStyle="1">
    <w:name w:val="En-tête Car"/>
    <w:basedOn w:val="DefaultParagraphFont"/>
    <w:uiPriority w:val="99"/>
    <w:semiHidden/>
    <w:qFormat/>
    <w:rsid w:val="00c450f0"/>
    <w:rPr>
      <w:rFonts w:ascii="Corbel" w:hAnsi="Corbel" w:eastAsia="Times New Roman" w:cs="Times New Roman"/>
      <w:color w:val="000000"/>
      <w:sz w:val="24"/>
    </w:rPr>
  </w:style>
  <w:style w:type="character" w:styleId="Sautdindex">
    <w:name w:val="Saut d'index"/>
    <w:qFormat/>
    <w:rPr/>
  </w:style>
  <w:style w:type="character" w:styleId="Caractresdenotedefin">
    <w:name w:val="Caractères de note de fin"/>
    <w:qFormat/>
    <w:rPr>
      <w:vertAlign w:val="superscript"/>
    </w:rPr>
  </w:style>
  <w:style w:type="character" w:styleId="Caractresdenotedefinuser">
    <w:name w:val="Caractères de note de fin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uiPriority w:val="35"/>
    <w:unhideWhenUsed/>
    <w:qFormat/>
    <w:rsid w:val="00ab595c"/>
    <w:pPr>
      <w:spacing w:before="0" w:after="200"/>
      <w:ind w:hanging="0" w:left="0"/>
      <w:jc w:val="left"/>
    </w:pPr>
    <w:rPr>
      <w:rFonts w:eastAsia="Calibri" w:cs="" w:cstheme="minorBidi" w:eastAsiaTheme="minorHAnsi"/>
      <w:i/>
      <w:iCs/>
      <w:color w:themeColor="text2" w:val="44546A"/>
      <w:sz w:val="18"/>
      <w:szCs w:val="18"/>
      <w:lang w:eastAsia="en-US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ListParagraph">
    <w:name w:val="List Paragraph"/>
    <w:basedOn w:val="Normal"/>
    <w:uiPriority w:val="34"/>
    <w:qFormat/>
    <w:rsid w:val="0012006c"/>
    <w:pPr>
      <w:spacing w:before="0" w:after="120"/>
      <w:ind w:left="720"/>
      <w:contextualSpacing/>
    </w:pPr>
    <w:rPr/>
  </w:style>
  <w:style w:type="paragraph" w:styleId="TOC1">
    <w:name w:val="toc 1"/>
    <w:basedOn w:val="Normal"/>
    <w:next w:val="Normal"/>
    <w:autoRedefine/>
    <w:uiPriority w:val="39"/>
    <w:unhideWhenUsed/>
    <w:rsid w:val="00184e67"/>
    <w:pPr>
      <w:tabs>
        <w:tab w:val="clear" w:pos="708"/>
        <w:tab w:val="right" w:pos="9062" w:leader="dot"/>
      </w:tabs>
      <w:spacing w:before="0" w:after="100"/>
      <w:ind w:left="0"/>
    </w:pPr>
    <w:rPr/>
  </w:style>
  <w:style w:type="paragraph" w:styleId="IndexHeading">
    <w:name w:val="index heading"/>
    <w:basedOn w:val="Titre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b595c"/>
    <w:pPr>
      <w:spacing w:lineRule="auto" w:line="247" w:before="240" w:after="0"/>
      <w:ind w:hanging="10" w:left="10" w:right="2"/>
      <w:jc w:val="both"/>
      <w:outlineLvl w:val="9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Title">
    <w:name w:val="Title"/>
    <w:basedOn w:val="Normal"/>
    <w:next w:val="Normal"/>
    <w:link w:val="TitreCar"/>
    <w:uiPriority w:val="10"/>
    <w:qFormat/>
    <w:rsid w:val="00ab595c"/>
    <w:pPr>
      <w:spacing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color w:val="auto"/>
      <w:spacing w:val="-10"/>
      <w:kern w:val="2"/>
      <w:sz w:val="56"/>
      <w:szCs w:val="56"/>
    </w:rPr>
  </w:style>
  <w:style w:type="paragraph" w:styleId="StyleCorbelAutomatiqueGaucheGauche0cmPremireligne" w:customStyle="1">
    <w:name w:val="Style Corbel Automatique Gauche Gauche :  0 cm Première ligne :..."/>
    <w:basedOn w:val="Normal"/>
    <w:qFormat/>
    <w:rsid w:val="007773c6"/>
    <w:pPr>
      <w:spacing w:lineRule="auto" w:line="259"/>
      <w:ind w:hanging="0" w:left="0"/>
      <w:jc w:val="left"/>
    </w:pPr>
    <w:rPr>
      <w:color w:val="auto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c73766"/>
    <w:pPr>
      <w:spacing w:before="0" w:after="100"/>
      <w:ind w:left="240"/>
    </w:pPr>
    <w:rPr/>
  </w:style>
  <w:style w:type="paragraph" w:styleId="En-tteetpieddepage">
    <w:name w:val="En-tête et pied de page"/>
    <w:basedOn w:val="Normal"/>
    <w:qFormat/>
    <w:pPr/>
    <w:rPr/>
  </w:style>
  <w:style w:type="paragraph" w:styleId="En-tteetpieddepageuser">
    <w:name w:val="En-tête et pied de page (user)"/>
    <w:basedOn w:val="Normal"/>
    <w:qFormat/>
    <w:pPr/>
    <w:rPr/>
  </w:style>
  <w:style w:type="paragraph" w:styleId="Footer">
    <w:name w:val="footer"/>
    <w:basedOn w:val="Normal"/>
    <w:link w:val="PieddepageCar"/>
    <w:uiPriority w:val="99"/>
    <w:unhideWhenUsed/>
    <w:rsid w:val="00f877b2"/>
    <w:pPr>
      <w:tabs>
        <w:tab w:val="clear" w:pos="708"/>
        <w:tab w:val="center" w:pos="4536" w:leader="none"/>
        <w:tab w:val="right" w:pos="9072" w:leader="none"/>
      </w:tabs>
      <w:spacing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837787"/>
    <w:pPr>
      <w:spacing w:beforeAutospacing="1" w:afterAutospacing="1"/>
      <w:ind w:hanging="0" w:left="0"/>
      <w:jc w:val="left"/>
    </w:pPr>
    <w:rPr>
      <w:color w:val="auto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d7442f"/>
    <w:pPr>
      <w:spacing w:before="0" w:after="100"/>
      <w:ind w:left="480"/>
    </w:pPr>
    <w:rPr/>
  </w:style>
  <w:style w:type="paragraph" w:styleId="FootnoteText">
    <w:name w:val="footnote text"/>
    <w:basedOn w:val="Normal"/>
    <w:link w:val="NotedebasdepageCar"/>
    <w:uiPriority w:val="99"/>
    <w:semiHidden/>
    <w:unhideWhenUsed/>
    <w:rsid w:val="00dc26a5"/>
    <w:pPr>
      <w:spacing w:before="0" w:after="0"/>
    </w:pPr>
    <w:rPr>
      <w:sz w:val="20"/>
      <w:szCs w:val="20"/>
    </w:rPr>
  </w:style>
  <w:style w:type="paragraph" w:styleId="CommentText">
    <w:name w:val="annotation text"/>
    <w:basedOn w:val="Normal"/>
    <w:link w:val="CommentaireCar"/>
    <w:uiPriority w:val="99"/>
    <w:semiHidden/>
    <w:unhideWhenUsed/>
    <w:rsid w:val="00304b87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ObjetducommentaireCar"/>
    <w:uiPriority w:val="99"/>
    <w:semiHidden/>
    <w:unhideWhenUsed/>
    <w:qFormat/>
    <w:rsid w:val="00304b87"/>
    <w:pPr/>
    <w:rPr>
      <w:b/>
      <w:bCs/>
    </w:rPr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304b87"/>
    <w:pPr>
      <w:spacing w:before="0" w:after="0"/>
    </w:pPr>
    <w:rPr>
      <w:rFonts w:ascii="Segoe UI" w:hAnsi="Segoe UI" w:cs="Segoe UI"/>
      <w:sz w:val="18"/>
      <w:szCs w:val="18"/>
    </w:rPr>
  </w:style>
  <w:style w:type="paragraph" w:styleId="Quote">
    <w:name w:val="Quote"/>
    <w:basedOn w:val="Normal"/>
    <w:next w:val="Normal"/>
    <w:link w:val="CitationCar"/>
    <w:uiPriority w:val="29"/>
    <w:qFormat/>
    <w:rsid w:val="0087438f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eader">
    <w:name w:val="header"/>
    <w:basedOn w:val="Normal"/>
    <w:link w:val="En-tteCar"/>
    <w:uiPriority w:val="99"/>
    <w:semiHidden/>
    <w:unhideWhenUsed/>
    <w:rsid w:val="00c450f0"/>
    <w:pPr>
      <w:tabs>
        <w:tab w:val="clear" w:pos="708"/>
        <w:tab w:val="center" w:pos="4536" w:leader="none"/>
        <w:tab w:val="right" w:pos="9072" w:leader="none"/>
      </w:tabs>
      <w:spacing w:before="0" w:after="0"/>
    </w:pPr>
    <w:rPr/>
  </w:style>
  <w:style w:type="paragraph" w:styleId="Contenudecadre">
    <w:name w:val="Contenu de cadre"/>
    <w:basedOn w:val="Normal"/>
    <w:qFormat/>
    <w:pPr/>
    <w:rPr/>
  </w:style>
  <w:style w:type="paragraph" w:styleId="En-ttegauche">
    <w:name w:val="En-tête gauche"/>
    <w:basedOn w:val="Header"/>
    <w:qFormat/>
    <w:pPr/>
    <w:rPr/>
  </w:style>
  <w:style w:type="paragraph" w:styleId="Commentaire">
    <w:name w:val="Commentaire"/>
    <w:basedOn w:val="Normal"/>
    <w:qFormat/>
    <w:pPr>
      <w:spacing w:before="56" w:after="0"/>
      <w:ind w:left="56" w:right="56"/>
    </w:pPr>
    <w:rPr>
      <w:sz w:val="20"/>
      <w:szCs w:val="20"/>
    </w:rPr>
  </w:style>
  <w:style w:type="paragraph" w:styleId="Contenudecadreuser">
    <w:name w:val="Contenu de cadre (user)"/>
    <w:basedOn w:val="Normal"/>
    <w:qFormat/>
    <w:pPr/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a17b8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auGrille4-Accentuation5">
    <w:name w:val="Grid Table 4 Accent 5"/>
    <w:basedOn w:val="TableauNormal"/>
    <w:uiPriority w:val="49"/>
    <w:rsid w:val="00091c61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  <w:color w:val="000000" w:themeColor="background1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eauGrille4-Accentuation1">
    <w:name w:val="Grid Table 4 Accent 1"/>
    <w:basedOn w:val="TableauNormal"/>
    <w:uiPriority w:val="49"/>
    <w:rsid w:val="00b35bf7"/>
    <w:pPr>
      <w:spacing w:after="0" w:line="240" w:lineRule="auto"/>
    </w:p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val="000000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image" Target="media/image3.png"/><Relationship Id="rId9" Type="http://schemas.openxmlformats.org/officeDocument/2006/relationships/hyperlink" Target="https://systematicreviewtools.com/" TargetMode="External"/><Relationship Id="rId10" Type="http://schemas.openxmlformats.org/officeDocument/2006/relationships/hyperlink" Target="https://rayyan.qcri.org/" TargetMode="External"/><Relationship Id="rId11" Type="http://schemas.openxmlformats.org/officeDocument/2006/relationships/hyperlink" Target="https://picoportal.org/" TargetMode="External"/><Relationship Id="rId12" Type="http://schemas.openxmlformats.org/officeDocument/2006/relationships/hyperlink" Target="https://www.covidence.org/" TargetMode="External"/><Relationship Id="rId13" Type="http://schemas.openxmlformats.org/officeDocument/2006/relationships/hyperlink" Target="https://training.cochrane.org/online-learning/core-software/revman" TargetMode="External"/><Relationship Id="rId14" Type="http://schemas.openxmlformats.org/officeDocument/2006/relationships/hyperlink" Target="https://sumari.jbi.global/" TargetMode="External"/><Relationship Id="rId15" Type="http://schemas.openxmlformats.org/officeDocument/2006/relationships/hyperlink" Target="https://www.distillersr.com/" TargetMode="External"/><Relationship Id="rId16" Type="http://schemas.openxmlformats.org/officeDocument/2006/relationships/header" Target="header4.xml"/><Relationship Id="rId17" Type="http://schemas.openxmlformats.org/officeDocument/2006/relationships/header" Target="header5.xml"/><Relationship Id="rId18" Type="http://schemas.openxmlformats.org/officeDocument/2006/relationships/header" Target="header6.xml"/><Relationship Id="rId19" Type="http://schemas.openxmlformats.org/officeDocument/2006/relationships/footer" Target="footer4.xml"/><Relationship Id="rId20" Type="http://schemas.openxmlformats.org/officeDocument/2006/relationships/footer" Target="footer5.xml"/><Relationship Id="rId21" Type="http://schemas.openxmlformats.org/officeDocument/2006/relationships/footer" Target="footer6.xml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<Relationship Id="rId26" Type="http://schemas.openxmlformats.org/officeDocument/2006/relationships/customXml" Target="../customXml/item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Relationship Id="rId3" Type="http://schemas.openxmlformats.org/officeDocument/2006/relationships/image" Target="media/image1.jpeg"/><Relationship Id="rId4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hyperlink" Target="https://creativecommons.org/licenses/by-sa/4.0/" TargetMode="External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hyperlink" Target="https://creativecommons.org/licenses/by-sa/4.0/" TargetMode="External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hyperlink" Target="https://creativecommons.org/licenses/by-sa/4.0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9D77AE-6CCD-4CDC-850E-AD5EB4AABA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Application>LibreOffice/26.2.1.2$Windows_X86_64 LibreOffice_project/620$Build-2</Application>
  <AppVersion>15.0000</AppVersion>
  <Pages>2</Pages>
  <Words>473</Words>
  <Characters>2552</Characters>
  <CharactersWithSpaces>2963</CharactersWithSpaces>
  <Paragraphs>53</Paragraphs>
  <Company>Direction de la Documentation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2023-03-29T08:03:00Z</dcterms:created>
  <dc:creator>Frédérique Flamerie</dc:creator>
  <dc:description/>
  <dc:language>fr-FR</dc:language>
  <cp:lastModifiedBy/>
  <cp:lastPrinted>2025-12-09T08:48:40Z</cp:lastPrinted>
  <dcterms:modified xsi:type="dcterms:W3CDTF">2026-05-05T09:18:44Z</dcterms:modified>
  <cp:revision>23</cp:revision>
  <dc:subject/>
  <dc:title>Logiciels spécialisés pour les revues de littérature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