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48"/>
        </w:rPr>
        <w:t>DOCUMENTACIÓN TÉCNICA Y ARQUITECTURA DE SOFTWARE</w:t>
      </w:r>
    </w:p>
    <w:p>
      <w:pPr>
        <w:spacing w:after="360"/>
        <w:jc w:val="center"/>
      </w:pPr>
      <w:r>
        <w:rPr>
          <w:rFonts w:ascii="Arial" w:hAnsi="Arial"/>
          <w:b/>
          <w:color w:val="6366F1"/>
          <w:sz w:val="26"/>
        </w:rPr>
        <w:t>LUXO AI SYSTEM v7.7 - Plataforma de Retail, Auditoría y Capacitación Inteligente</w:t>
      </w:r>
    </w:p>
    <w:p>
      <w:pPr>
        <w:spacing w:after="360"/>
        <w:jc w:val="center"/>
      </w:pPr>
      <w:r>
        <w:rPr>
          <w:color w:val="CBD5E1"/>
          <w:sz w:val="20"/>
        </w:rPr>
        <w:t>_______________________________________________________________________________</w:t>
      </w:r>
    </w:p>
    <w:p>
      <w:pPr>
        <w:keepNext/>
        <w:spacing w:before="320" w:after="120"/>
      </w:pPr>
      <w:r>
        <w:rPr>
          <w:rFonts w:ascii="Arial" w:hAnsi="Arial"/>
          <w:b/>
          <w:color w:val="1E3A8A"/>
          <w:sz w:val="32"/>
        </w:rPr>
        <w:t>1. ÍNDICE DE CONTENIDOS</w:t>
      </w:r>
    </w:p>
    <w:p>
      <w:pPr>
        <w:pStyle w:val="ListBullet"/>
        <w:spacing w:after="60" w:line="276" w:lineRule="auto"/>
      </w:pPr>
      <w:r>
        <w:rPr>
          <w:rFonts w:ascii="Calibri" w:hAnsi="Calibri"/>
          <w:color w:val="1E293B"/>
          <w:sz w:val="22"/>
        </w:rPr>
        <w:t>1. Resumen Ejecutivo y Propósito del Sistema</w:t>
      </w:r>
    </w:p>
    <w:p>
      <w:pPr>
        <w:pStyle w:val="ListBullet"/>
        <w:spacing w:after="60" w:line="276" w:lineRule="auto"/>
      </w:pPr>
      <w:r>
        <w:rPr>
          <w:rFonts w:ascii="Calibri" w:hAnsi="Calibri"/>
          <w:color w:val="1E293B"/>
          <w:sz w:val="22"/>
        </w:rPr>
        <w:t>2. Arquitectura General y Stack Tecnológico</w:t>
      </w:r>
    </w:p>
    <w:p>
      <w:pPr>
        <w:pStyle w:val="ListBullet"/>
        <w:spacing w:after="60" w:line="276" w:lineRule="auto"/>
      </w:pPr>
      <w:r>
        <w:rPr>
          <w:rFonts w:ascii="Calibri" w:hAnsi="Calibri"/>
          <w:color w:val="1E293B"/>
          <w:sz w:val="22"/>
        </w:rPr>
        <w:t>3. Ecosistema de APIs e Inteligencia Artificial Actual</w:t>
      </w:r>
    </w:p>
    <w:p>
      <w:pPr>
        <w:pStyle w:val="ListBullet"/>
        <w:spacing w:after="60" w:line="276" w:lineRule="auto"/>
      </w:pPr>
      <w:r>
        <w:rPr>
          <w:rFonts w:ascii="Calibri" w:hAnsi="Calibri"/>
          <w:color w:val="1E293B"/>
          <w:sz w:val="22"/>
        </w:rPr>
        <w:t>4. Mapeo Técnico Completo de los 30 Módulos y Pestañas</w:t>
      </w:r>
    </w:p>
    <w:p>
      <w:pPr>
        <w:pStyle w:val="ListBullet"/>
        <w:spacing w:after="60" w:line="276" w:lineRule="auto"/>
      </w:pPr>
      <w:r>
        <w:rPr>
          <w:rFonts w:ascii="Calibri" w:hAnsi="Calibri"/>
          <w:color w:val="1E293B"/>
          <w:sz w:val="22"/>
        </w:rPr>
        <w:t>5. Retos Técnicos Superados y Soluciones de Ingeniería</w:t>
      </w:r>
    </w:p>
    <w:p>
      <w:pPr>
        <w:pStyle w:val="ListBullet"/>
        <w:spacing w:after="60" w:line="276" w:lineRule="auto"/>
      </w:pPr>
      <w:r>
        <w:rPr>
          <w:rFonts w:ascii="Calibri" w:hAnsi="Calibri"/>
          <w:color w:val="1E293B"/>
          <w:sz w:val="22"/>
        </w:rPr>
        <w:t>6. Plan de Mejoras Futuras e Integración con Gemini Multimodal</w:t>
      </w:r>
    </w:p>
    <w:p>
      <w:pPr>
        <w:keepNext/>
        <w:spacing w:before="320" w:after="120"/>
      </w:pPr>
      <w:r>
        <w:rPr>
          <w:rFonts w:ascii="Arial" w:hAnsi="Arial"/>
          <w:b/>
          <w:color w:val="1E3A8A"/>
          <w:sz w:val="32"/>
        </w:rPr>
        <w:t>2. RESUMEN EJECUTIVO Y PROPÓSITO DEL SISTEMA</w:t>
      </w:r>
    </w:p>
    <w:p>
      <w:pPr>
        <w:spacing w:after="120" w:line="276" w:lineRule="auto"/>
      </w:pPr>
      <w:r>
        <w:rPr>
          <w:rFonts w:ascii="Calibri" w:hAnsi="Calibri"/>
          <w:color w:val="1E293B"/>
          <w:sz w:val="22"/>
        </w:rPr>
        <w:t>LUXO AI System es una suite tecnológica empresarial de alta disponibilidad, diseñada específicamente para optimizar la operación de tiendas, la auditoría contable en punto de venta y la formación continua de asesores comerciales en el sector de óptica y lujo (Sunglass Hut / Luxottica).</w:t>
      </w:r>
    </w:p>
    <w:p>
      <w:pPr>
        <w:spacing w:after="120" w:line="276" w:lineRule="auto"/>
      </w:pPr>
      <w:r>
        <w:rPr>
          <w:rFonts w:ascii="Calibri" w:hAnsi="Calibri"/>
          <w:color w:val="1E293B"/>
          <w:sz w:val="22"/>
        </w:rPr>
        <w:t>El sistema centraliza en una plataforma única y reactiva: asistencia mediante modelos de lenguaje (LLM), auditoría digital de ventas (DiSA) con corrección geométrica de imágenes, control de inventarios cíclicos, presupuestos, seguimiento de metas comerciales, simulador de ventas por voz, paquetería logística (FedEx) y CRM con integración a WhatsApp.</w:t>
      </w:r>
    </w:p>
    <w:p>
      <w:pPr>
        <w:keepNext/>
        <w:spacing w:before="320" w:after="120"/>
      </w:pPr>
      <w:r>
        <w:rPr>
          <w:rFonts w:ascii="Arial" w:hAnsi="Arial"/>
          <w:b/>
          <w:color w:val="1E3A8A"/>
          <w:sz w:val="32"/>
        </w:rPr>
        <w:t>3. ARQUITECTURA GENERAL Y STACK TECNOLÓGICO</w:t>
      </w:r>
    </w:p>
    <w:p>
      <w:pPr>
        <w:keepNext/>
        <w:spacing w:before="240" w:after="80"/>
      </w:pPr>
      <w:r>
        <w:rPr>
          <w:rFonts w:ascii="Arial" w:hAnsi="Arial"/>
          <w:b/>
          <w:color w:val="4F46E5"/>
          <w:sz w:val="26"/>
        </w:rPr>
        <w:t>3.1 Backend y Servicios Centrales</w:t>
      </w:r>
    </w:p>
    <w:p>
      <w:pPr>
        <w:pStyle w:val="ListBullet"/>
        <w:spacing w:after="60" w:line="276" w:lineRule="auto"/>
      </w:pPr>
      <w:r>
        <w:rPr>
          <w:rFonts w:ascii="Calibri" w:hAnsi="Calibri"/>
          <w:b/>
          <w:color w:val="0F172A"/>
          <w:sz w:val="22"/>
        </w:rPr>
        <w:t>FastAPI / Starlette / Uvicorn:</w:t>
      </w:r>
      <w:r>
        <w:rPr>
          <w:rFonts w:ascii="Calibri" w:hAnsi="Calibri"/>
          <w:color w:val="1E293B"/>
          <w:sz w:val="22"/>
        </w:rPr>
        <w:t xml:space="preserve"> Servidor asíncrono de alto rendimiento para APIs REST, WebSockets, inyección de audio y streaming de datos.</w:t>
      </w:r>
    </w:p>
    <w:p>
      <w:pPr>
        <w:pStyle w:val="ListBullet"/>
        <w:spacing w:after="60" w:line="276" w:lineRule="auto"/>
      </w:pPr>
      <w:r>
        <w:rPr>
          <w:rFonts w:ascii="Calibri" w:hAnsi="Calibri"/>
          <w:b/>
          <w:color w:val="0F172A"/>
          <w:sz w:val="22"/>
        </w:rPr>
        <w:t>Lenguaje Base:</w:t>
      </w:r>
      <w:r>
        <w:rPr>
          <w:rFonts w:ascii="Calibri" w:hAnsi="Calibri"/>
          <w:color w:val="1E293B"/>
          <w:sz w:val="22"/>
        </w:rPr>
        <w:t xml:space="preserve"> 3.10 / 3.11+ con arquitectura multi-hilo (Threading) para aislar llamadas pesadas a APIs y no congelar la interfaz gráfica.</w:t>
      </w:r>
    </w:p>
    <w:p>
      <w:pPr>
        <w:keepNext/>
        <w:spacing w:before="240" w:after="80"/>
      </w:pPr>
      <w:r>
        <w:rPr>
          <w:rFonts w:ascii="Arial" w:hAnsi="Arial"/>
          <w:b/>
          <w:color w:val="4F46E5"/>
          <w:sz w:val="26"/>
        </w:rPr>
        <w:t>3.2 Frontend Reactivo Multiplataforma</w:t>
      </w:r>
    </w:p>
    <w:p>
      <w:pPr>
        <w:pStyle w:val="ListBullet"/>
        <w:spacing w:after="60" w:line="276" w:lineRule="auto"/>
      </w:pPr>
      <w:r>
        <w:rPr>
          <w:rFonts w:ascii="Calibri" w:hAnsi="Calibri"/>
          <w:b/>
          <w:color w:val="0F172A"/>
          <w:sz w:val="22"/>
        </w:rPr>
        <w:t>Flet Framework:</w:t>
      </w:r>
      <w:r>
        <w:rPr>
          <w:rFonts w:ascii="Calibri" w:hAnsi="Calibri"/>
          <w:color w:val="1E293B"/>
          <w:sz w:val="22"/>
        </w:rPr>
        <w:t xml:space="preserve"> Motor gráfico basado en Google Flutter compilado para Web Desktop, Tablets y Smartphones (iOS / Android / PWA).</w:t>
      </w:r>
    </w:p>
    <w:p>
      <w:pPr>
        <w:pStyle w:val="ListBullet"/>
        <w:spacing w:after="60" w:line="276" w:lineRule="auto"/>
      </w:pPr>
      <w:r>
        <w:rPr>
          <w:rFonts w:ascii="Calibri" w:hAnsi="Calibri"/>
          <w:b/>
          <w:color w:val="0F172A"/>
          <w:sz w:val="22"/>
        </w:rPr>
        <w:t>Tema Visual:</w:t>
      </w:r>
      <w:r>
        <w:rPr>
          <w:rFonts w:ascii="Calibri" w:hAnsi="Calibri"/>
          <w:color w:val="1E293B"/>
          <w:sz w:val="22"/>
        </w:rPr>
        <w:t xml:space="preserve"> Cyberpunk Neon Dark (#0B0E17) con acentos Neón Cyan (#00FFFF), Púrpura (#9D50BB) y Verde (#00FF88).</w:t>
      </w:r>
    </w:p>
    <w:p>
      <w:pPr>
        <w:keepNext/>
        <w:spacing w:before="240" w:after="80"/>
      </w:pPr>
      <w:r>
        <w:rPr>
          <w:rFonts w:ascii="Arial" w:hAnsi="Arial"/>
          <w:b/>
          <w:color w:val="4F46E5"/>
          <w:sz w:val="26"/>
        </w:rPr>
        <w:t>3.3 Persistencia y Base de Datos</w:t>
      </w:r>
    </w:p>
    <w:p>
      <w:pPr>
        <w:pStyle w:val="ListBullet"/>
        <w:spacing w:after="60" w:line="276" w:lineRule="auto"/>
      </w:pPr>
      <w:r>
        <w:rPr>
          <w:rFonts w:ascii="Calibri" w:hAnsi="Calibri"/>
          <w:b/>
          <w:color w:val="0F172A"/>
          <w:sz w:val="22"/>
        </w:rPr>
        <w:t>MySQL / PyMySQL:</w:t>
      </w:r>
      <w:r>
        <w:rPr>
          <w:rFonts w:ascii="Calibri" w:hAnsi="Calibri"/>
          <w:color w:val="1E293B"/>
          <w:sz w:val="22"/>
        </w:rPr>
        <w:t xml:space="preserve"> Almacena usuarios, roles, jerarquía corporativa (Zonas, Regiones, Tiendas), métricas y bitácoras.</w:t>
      </w:r>
    </w:p>
    <w:p>
      <w:pPr>
        <w:pStyle w:val="ListBullet"/>
        <w:spacing w:after="60" w:line="276" w:lineRule="auto"/>
      </w:pPr>
      <w:r>
        <w:rPr>
          <w:rFonts w:ascii="Calibri" w:hAnsi="Calibri"/>
          <w:b/>
          <w:color w:val="0F172A"/>
          <w:sz w:val="22"/>
        </w:rPr>
        <w:t>JSON Storage:</w:t>
      </w:r>
      <w:r>
        <w:rPr>
          <w:rFonts w:ascii="Calibri" w:hAnsi="Calibri"/>
          <w:color w:val="1E293B"/>
          <w:sz w:val="22"/>
        </w:rPr>
        <w:t xml:space="preserve"> Almacenamiento local ultrarrápido y tolerante a fallos de red para estados de enfoque diario (enfoque_diario_state_*.json) y auditorías DiSA (disa_status.json).</w:t>
      </w:r>
    </w:p>
    <w:p>
      <w:pPr>
        <w:keepNext/>
        <w:spacing w:before="240" w:after="80"/>
      </w:pPr>
      <w:r>
        <w:rPr>
          <w:rFonts w:ascii="Arial" w:hAnsi="Arial"/>
          <w:b/>
          <w:color w:val="4F46E5"/>
          <w:sz w:val="26"/>
        </w:rPr>
        <w:t>3.4 Red y Conectividad Híbrida</w:t>
      </w:r>
    </w:p>
    <w:p>
      <w:pPr>
        <w:pStyle w:val="ListBullet"/>
        <w:spacing w:after="60" w:line="276" w:lineRule="auto"/>
      </w:pPr>
      <w:r>
        <w:rPr>
          <w:rFonts w:ascii="Calibri" w:hAnsi="Calibri"/>
          <w:b/>
          <w:color w:val="0F172A"/>
          <w:sz w:val="22"/>
        </w:rPr>
        <w:t>Cloudflare Tunnels (cloudflared.exe):</w:t>
      </w:r>
      <w:r>
        <w:rPr>
          <w:rFonts w:ascii="Calibri" w:hAnsi="Calibri"/>
          <w:color w:val="1E293B"/>
          <w:sz w:val="22"/>
        </w:rPr>
        <w:t xml:space="preserve"> Conexión cifrada punto a punto sin necesidad de abrir puertos públicos en módems de tienda.</w:t>
      </w:r>
    </w:p>
    <w:p>
      <w:pPr>
        <w:pStyle w:val="ListBullet"/>
        <w:spacing w:after="60" w:line="276" w:lineRule="auto"/>
      </w:pPr>
      <w:r>
        <w:rPr>
          <w:rFonts w:ascii="Calibri" w:hAnsi="Calibri"/>
          <w:b/>
          <w:color w:val="0F172A"/>
          <w:sz w:val="22"/>
        </w:rPr>
        <w:t>Ngrok:</w:t>
      </w:r>
      <w:r>
        <w:rPr>
          <w:rFonts w:ascii="Calibri" w:hAnsi="Calibri"/>
          <w:color w:val="1E293B"/>
          <w:sz w:val="22"/>
        </w:rPr>
        <w:t xml:space="preserve"> Túnel alternativo de respaldo con monitoreo en ngrok.log.</w:t>
      </w:r>
    </w:p>
    <w:p>
      <w:pPr>
        <w:keepNext/>
        <w:spacing w:before="320" w:after="120"/>
      </w:pPr>
      <w:r>
        <w:rPr>
          <w:rFonts w:ascii="Arial" w:hAnsi="Arial"/>
          <w:b/>
          <w:color w:val="1E3A8A"/>
          <w:sz w:val="32"/>
        </w:rPr>
        <w:t>4. ECOSISTEMA DE APIS E INTELIGENCIA ARTIFICIAL ACTUAL</w:t>
      </w:r>
    </w:p>
    <w:p>
      <w:pPr>
        <w:pStyle w:val="ListBullet"/>
        <w:spacing w:after="60" w:line="276" w:lineRule="auto"/>
      </w:pPr>
      <w:r>
        <w:rPr>
          <w:rFonts w:ascii="Calibri" w:hAnsi="Calibri"/>
          <w:b/>
          <w:color w:val="0F172A"/>
          <w:sz w:val="22"/>
        </w:rPr>
        <w:t>Groq API (LLM Principal):</w:t>
      </w:r>
      <w:r>
        <w:rPr>
          <w:rFonts w:ascii="Calibri" w:hAnsi="Calibri"/>
          <w:color w:val="1E293B"/>
          <w:sz w:val="22"/>
        </w:rPr>
        <w:t xml:space="preserve"> Inferencia de alta velocidad (&gt;250 tokens/segundo) con modelo llama-3.3-70b-versatile, balanceador dinámico y rotación de llaves para evitar límites de cuota.</w:t>
      </w:r>
    </w:p>
    <w:p>
      <w:pPr>
        <w:pStyle w:val="ListBullet"/>
        <w:spacing w:after="60" w:line="276" w:lineRule="auto"/>
      </w:pPr>
      <w:r>
        <w:rPr>
          <w:rFonts w:ascii="Calibri" w:hAnsi="Calibri"/>
          <w:b/>
          <w:color w:val="0F172A"/>
          <w:sz w:val="22"/>
        </w:rPr>
        <w:t>Motor RAG (Retrieval-Augmented Generation):</w:t>
      </w:r>
      <w:r>
        <w:rPr>
          <w:rFonts w:ascii="Calibri" w:hAnsi="Calibri"/>
          <w:color w:val="1E293B"/>
          <w:sz w:val="22"/>
        </w:rPr>
        <w:t xml:space="preserve"> Búsqueda contextual por palabras clave y similitud para consultar manuales oficiales en PDF (Garantías, POS, Políticas).</w:t>
      </w:r>
    </w:p>
    <w:p>
      <w:pPr>
        <w:pStyle w:val="ListBullet"/>
        <w:spacing w:after="60" w:line="276" w:lineRule="auto"/>
      </w:pPr>
      <w:r>
        <w:rPr>
          <w:rFonts w:ascii="Calibri" w:hAnsi="Calibri"/>
          <w:b/>
          <w:color w:val="0F172A"/>
          <w:sz w:val="22"/>
        </w:rPr>
        <w:t>OpenCV / Optics Engine:</w:t>
      </w:r>
      <w:r>
        <w:rPr>
          <w:rFonts w:ascii="Calibri" w:hAnsi="Calibri"/>
          <w:color w:val="1E293B"/>
          <w:sz w:val="22"/>
        </w:rPr>
        <w:t xml:space="preserve"> Recorte geométrico de 4 puntos y corrección de perspectiva en disa_engine.py preservando los píxeles puros del sensor de la cámara.</w:t>
      </w:r>
    </w:p>
    <w:p>
      <w:pPr>
        <w:pStyle w:val="ListBullet"/>
        <w:spacing w:after="60" w:line="276" w:lineRule="auto"/>
      </w:pPr>
      <w:r>
        <w:rPr>
          <w:rFonts w:ascii="Calibri" w:hAnsi="Calibri"/>
          <w:b/>
          <w:color w:val="0F172A"/>
          <w:sz w:val="22"/>
        </w:rPr>
        <w:t>Motores de Voz (TTS):</w:t>
      </w:r>
      <w:r>
        <w:rPr>
          <w:rFonts w:ascii="Calibri" w:hAnsi="Calibri"/>
          <w:color w:val="1E293B"/>
          <w:sz w:val="22"/>
        </w:rPr>
        <w:t xml:space="preserve"> Síntesis neural de alta fidelidad con Microsoft Edge-TTS y Windows SAPI local con inicialización COM segura (pythoncom.CoInitialize()).</w:t>
      </w:r>
    </w:p>
    <w:p>
      <w:pPr>
        <w:pStyle w:val="ListBullet"/>
        <w:spacing w:after="60" w:line="276" w:lineRule="auto"/>
      </w:pPr>
      <w:r>
        <w:rPr>
          <w:rFonts w:ascii="Calibri" w:hAnsi="Calibri"/>
          <w:b/>
          <w:color w:val="0F172A"/>
          <w:sz w:val="22"/>
        </w:rPr>
        <w:t>Reconocimiento de Voz (STT):</w:t>
      </w:r>
      <w:r>
        <w:rPr>
          <w:rFonts w:ascii="Calibri" w:hAnsi="Calibri"/>
          <w:color w:val="1E293B"/>
          <w:sz w:val="22"/>
        </w:rPr>
        <w:t xml:space="preserve"> Web Speech API en navegadores web y SpeechRecognition + PyAudio para comando manos libres 'Oye LUXO'.</w:t>
      </w:r>
    </w:p>
    <w:p>
      <w:pPr>
        <w:keepNext/>
        <w:spacing w:before="320" w:after="120"/>
      </w:pPr>
      <w:r>
        <w:rPr>
          <w:rFonts w:ascii="Arial" w:hAnsi="Arial"/>
          <w:b/>
          <w:color w:val="1E3A8A"/>
          <w:sz w:val="32"/>
        </w:rPr>
        <w:t>5. MAPEO TÉCNICO COMPLETO DE LOS 30 MÓDULOS Y PESTAÑAS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20"/>
              </w:rPr>
              <w:t>#</w:t>
            </w:r>
          </w:p>
        </w:tc>
        <w:tc>
          <w:tcPr>
            <w:tcW w:type="dxa" w:w="3120"/>
            <w:shd w:fill="1E293B"/>
          </w:tcPr>
          <w:p>
            <w:r>
              <w:rPr>
                <w:b/>
                <w:color w:val="FFFFFF"/>
                <w:sz w:val="20"/>
              </w:rPr>
              <w:t>Módulo / Vista</w:t>
            </w:r>
          </w:p>
        </w:tc>
        <w:tc>
          <w:tcPr>
            <w:tcW w:type="dxa" w:w="3120"/>
            <w:shd w:fill="1E293B"/>
          </w:tcPr>
          <w:p>
            <w:r>
              <w:rPr>
                <w:b/>
                <w:color w:val="FFFFFF"/>
                <w:sz w:val="20"/>
              </w:rPr>
              <w:t>Descripción Técnica y Funcionalidad</w:t>
            </w:r>
          </w:p>
        </w:tc>
      </w:tr>
      <w:tr>
        <w:tc>
          <w:tcPr>
            <w:tcW w:type="dxa" w:w="3120"/>
            <w:tcMar>
              <w:top w:w="60" w:type="dxa"/>
              <w:bottom w:w="60" w:type="dxa"/>
              <w:left w:w="80" w:type="dxa"/>
              <w:right w:w="80" w:type="dxa"/>
            </w:tcMar>
          </w:tcPr>
          <w:p>
            <w:r>
              <w:rPr>
                <w:sz w:val="19"/>
              </w:rPr>
              <w:t>1</w:t>
            </w:r>
          </w:p>
        </w:tc>
        <w:tc>
          <w:tcPr>
            <w:tcW w:type="dxa" w:w="3120"/>
            <w:tcMar>
              <w:top w:w="60" w:type="dxa"/>
              <w:bottom w:w="60" w:type="dxa"/>
              <w:left w:w="80" w:type="dxa"/>
              <w:right w:w="80" w:type="dxa"/>
            </w:tcMar>
          </w:tcPr>
          <w:p>
            <w:r>
              <w:rPr>
                <w:sz w:val="19"/>
              </w:rPr>
              <w:t>chat (Asistente Virtual LUXO AI)</w:t>
            </w:r>
          </w:p>
        </w:tc>
        <w:tc>
          <w:tcPr>
            <w:tcW w:type="dxa" w:w="3120"/>
            <w:tcMar>
              <w:top w:w="60" w:type="dxa"/>
              <w:bottom w:w="60" w:type="dxa"/>
              <w:left w:w="80" w:type="dxa"/>
              <w:right w:w="80" w:type="dxa"/>
            </w:tcMar>
          </w:tcPr>
          <w:p>
            <w:r>
              <w:rPr>
                <w:sz w:val="19"/>
              </w:rPr>
              <w:t>Chat general con IA generativa, búsqueda RAG en manuales, comandos de voz y lectura TTS.</w:t>
            </w:r>
          </w:p>
        </w:tc>
      </w:tr>
      <w:tr>
        <w:tc>
          <w:tcPr>
            <w:tcW w:type="dxa" w:w="3120"/>
            <w:tcMar>
              <w:top w:w="60" w:type="dxa"/>
              <w:bottom w:w="60" w:type="dxa"/>
              <w:left w:w="80" w:type="dxa"/>
              <w:right w:w="80" w:type="dxa"/>
            </w:tcMar>
          </w:tcPr>
          <w:p>
            <w:r>
              <w:rPr>
                <w:sz w:val="19"/>
              </w:rPr>
              <w:t>2</w:t>
            </w:r>
          </w:p>
        </w:tc>
        <w:tc>
          <w:tcPr>
            <w:tcW w:type="dxa" w:w="3120"/>
            <w:tcMar>
              <w:top w:w="60" w:type="dxa"/>
              <w:bottom w:w="60" w:type="dxa"/>
              <w:left w:w="80" w:type="dxa"/>
              <w:right w:w="80" w:type="dxa"/>
            </w:tcMar>
          </w:tcPr>
          <w:p>
            <w:r>
              <w:rPr>
                <w:sz w:val="19"/>
              </w:rPr>
              <w:t>historial (Historial de Consultas)</w:t>
            </w:r>
          </w:p>
        </w:tc>
        <w:tc>
          <w:tcPr>
            <w:tcW w:type="dxa" w:w="3120"/>
            <w:tcMar>
              <w:top w:w="60" w:type="dxa"/>
              <w:bottom w:w="60" w:type="dxa"/>
              <w:left w:w="80" w:type="dxa"/>
              <w:right w:w="80" w:type="dxa"/>
            </w:tcMar>
          </w:tcPr>
          <w:p>
            <w:r>
              <w:rPr>
                <w:sz w:val="19"/>
              </w:rPr>
              <w:t>Registro temporal de preguntas y respuestas para auditoría y retroalimentación.</w:t>
            </w:r>
          </w:p>
        </w:tc>
      </w:tr>
      <w:tr>
        <w:tc>
          <w:tcPr>
            <w:tcW w:type="dxa" w:w="3120"/>
            <w:tcMar>
              <w:top w:w="60" w:type="dxa"/>
              <w:bottom w:w="60" w:type="dxa"/>
              <w:left w:w="80" w:type="dxa"/>
              <w:right w:w="80" w:type="dxa"/>
            </w:tcMar>
          </w:tcPr>
          <w:p>
            <w:r>
              <w:rPr>
                <w:sz w:val="19"/>
              </w:rPr>
              <w:t>3</w:t>
            </w:r>
          </w:p>
        </w:tc>
        <w:tc>
          <w:tcPr>
            <w:tcW w:type="dxa" w:w="3120"/>
            <w:tcMar>
              <w:top w:w="60" w:type="dxa"/>
              <w:bottom w:w="60" w:type="dxa"/>
              <w:left w:w="80" w:type="dxa"/>
              <w:right w:w="80" w:type="dxa"/>
            </w:tcMar>
          </w:tcPr>
          <w:p>
            <w:r>
              <w:rPr>
                <w:sz w:val="19"/>
              </w:rPr>
              <w:t>operacion_diaria (Operación Diaria)</w:t>
            </w:r>
          </w:p>
        </w:tc>
        <w:tc>
          <w:tcPr>
            <w:tcW w:type="dxa" w:w="3120"/>
            <w:tcMar>
              <w:top w:w="60" w:type="dxa"/>
              <w:bottom w:w="60" w:type="dxa"/>
              <w:left w:w="80" w:type="dxa"/>
              <w:right w:w="80" w:type="dxa"/>
            </w:tcMar>
          </w:tcPr>
          <w:p>
            <w:r>
              <w:rPr>
                <w:sz w:val="19"/>
              </w:rPr>
              <w:t>Monitoreo en vivo del estatus de aperturas y cierres por zona, región y tienda.</w:t>
            </w:r>
          </w:p>
        </w:tc>
      </w:tr>
      <w:tr>
        <w:tc>
          <w:tcPr>
            <w:tcW w:type="dxa" w:w="3120"/>
            <w:tcMar>
              <w:top w:w="60" w:type="dxa"/>
              <w:bottom w:w="60" w:type="dxa"/>
              <w:left w:w="80" w:type="dxa"/>
              <w:right w:w="80" w:type="dxa"/>
            </w:tcMar>
          </w:tcPr>
          <w:p>
            <w:r>
              <w:rPr>
                <w:sz w:val="19"/>
              </w:rPr>
              <w:t>4</w:t>
            </w:r>
          </w:p>
        </w:tc>
        <w:tc>
          <w:tcPr>
            <w:tcW w:type="dxa" w:w="3120"/>
            <w:tcMar>
              <w:top w:w="60" w:type="dxa"/>
              <w:bottom w:w="60" w:type="dxa"/>
              <w:left w:w="80" w:type="dxa"/>
              <w:right w:w="80" w:type="dxa"/>
            </w:tcMar>
          </w:tcPr>
          <w:p>
            <w:r>
              <w:rPr>
                <w:sz w:val="19"/>
              </w:rPr>
              <w:t>checklists (Checklists de Tienda)</w:t>
            </w:r>
          </w:p>
        </w:tc>
        <w:tc>
          <w:tcPr>
            <w:tcW w:type="dxa" w:w="3120"/>
            <w:tcMar>
              <w:top w:w="60" w:type="dxa"/>
              <w:bottom w:w="60" w:type="dxa"/>
              <w:left w:w="80" w:type="dxa"/>
              <w:right w:w="80" w:type="dxa"/>
            </w:tcMar>
          </w:tcPr>
          <w:p>
            <w:r>
              <w:rPr>
                <w:sz w:val="19"/>
              </w:rPr>
              <w:t>Formularios interactivos de Apertura, Cierre y Venta con barra de progreso.</w:t>
            </w:r>
          </w:p>
        </w:tc>
      </w:tr>
      <w:tr>
        <w:tc>
          <w:tcPr>
            <w:tcW w:type="dxa" w:w="3120"/>
            <w:tcMar>
              <w:top w:w="60" w:type="dxa"/>
              <w:bottom w:w="60" w:type="dxa"/>
              <w:left w:w="80" w:type="dxa"/>
              <w:right w:w="80" w:type="dxa"/>
            </w:tcMar>
          </w:tcPr>
          <w:p>
            <w:r>
              <w:rPr>
                <w:sz w:val="19"/>
              </w:rPr>
              <w:t>5</w:t>
            </w:r>
          </w:p>
        </w:tc>
        <w:tc>
          <w:tcPr>
            <w:tcW w:type="dxa" w:w="3120"/>
            <w:tcMar>
              <w:top w:w="60" w:type="dxa"/>
              <w:bottom w:w="60" w:type="dxa"/>
              <w:left w:w="80" w:type="dxa"/>
              <w:right w:w="80" w:type="dxa"/>
            </w:tcMar>
          </w:tcPr>
          <w:p>
            <w:r>
              <w:rPr>
                <w:sz w:val="19"/>
              </w:rPr>
              <w:t>manuales (Manuales y Políticas)</w:t>
            </w:r>
          </w:p>
        </w:tc>
        <w:tc>
          <w:tcPr>
            <w:tcW w:type="dxa" w:w="3120"/>
            <w:tcMar>
              <w:top w:w="60" w:type="dxa"/>
              <w:bottom w:w="60" w:type="dxa"/>
              <w:left w:w="80" w:type="dxa"/>
              <w:right w:w="80" w:type="dxa"/>
            </w:tcMar>
          </w:tcPr>
          <w:p>
            <w:r>
              <w:rPr>
                <w:sz w:val="19"/>
              </w:rPr>
              <w:t>Repositorio central de PDFs indexados con visor integrado y buscador semántico.</w:t>
            </w:r>
          </w:p>
        </w:tc>
      </w:tr>
      <w:tr>
        <w:tc>
          <w:tcPr>
            <w:tcW w:type="dxa" w:w="3120"/>
            <w:tcMar>
              <w:top w:w="60" w:type="dxa"/>
              <w:bottom w:w="60" w:type="dxa"/>
              <w:left w:w="80" w:type="dxa"/>
              <w:right w:w="80" w:type="dxa"/>
            </w:tcMar>
          </w:tcPr>
          <w:p>
            <w:r>
              <w:rPr>
                <w:sz w:val="19"/>
              </w:rPr>
              <w:t>6</w:t>
            </w:r>
          </w:p>
        </w:tc>
        <w:tc>
          <w:tcPr>
            <w:tcW w:type="dxa" w:w="3120"/>
            <w:tcMar>
              <w:top w:w="60" w:type="dxa"/>
              <w:bottom w:w="60" w:type="dxa"/>
              <w:left w:w="80" w:type="dxa"/>
              <w:right w:w="80" w:type="dxa"/>
            </w:tcMar>
          </w:tcPr>
          <w:p>
            <w:r>
              <w:rPr>
                <w:sz w:val="19"/>
              </w:rPr>
              <w:t>catalogo_upc (Catálogo UPC)</w:t>
            </w:r>
          </w:p>
        </w:tc>
        <w:tc>
          <w:tcPr>
            <w:tcW w:type="dxa" w:w="3120"/>
            <w:tcMar>
              <w:top w:w="60" w:type="dxa"/>
              <w:bottom w:w="60" w:type="dxa"/>
              <w:left w:w="80" w:type="dxa"/>
              <w:right w:w="80" w:type="dxa"/>
            </w:tcMar>
          </w:tcPr>
          <w:p>
            <w:r>
              <w:rPr>
                <w:sz w:val="19"/>
              </w:rPr>
              <w:t>Búsqueda rápida de códigos de barras, modelos de armazones, colores y especificaciones.</w:t>
            </w:r>
          </w:p>
        </w:tc>
      </w:tr>
      <w:tr>
        <w:tc>
          <w:tcPr>
            <w:tcW w:type="dxa" w:w="3120"/>
            <w:tcMar>
              <w:top w:w="60" w:type="dxa"/>
              <w:bottom w:w="60" w:type="dxa"/>
              <w:left w:w="80" w:type="dxa"/>
              <w:right w:w="80" w:type="dxa"/>
            </w:tcMar>
          </w:tcPr>
          <w:p>
            <w:r>
              <w:rPr>
                <w:sz w:val="19"/>
              </w:rPr>
              <w:t>7</w:t>
            </w:r>
          </w:p>
        </w:tc>
        <w:tc>
          <w:tcPr>
            <w:tcW w:type="dxa" w:w="3120"/>
            <w:tcMar>
              <w:top w:w="60" w:type="dxa"/>
              <w:bottom w:w="60" w:type="dxa"/>
              <w:left w:w="80" w:type="dxa"/>
              <w:right w:w="80" w:type="dxa"/>
            </w:tcMar>
          </w:tcPr>
          <w:p>
            <w:r>
              <w:rPr>
                <w:sz w:val="19"/>
              </w:rPr>
              <w:t>garantias (Garantías y Casos)</w:t>
            </w:r>
          </w:p>
        </w:tc>
        <w:tc>
          <w:tcPr>
            <w:tcW w:type="dxa" w:w="3120"/>
            <w:tcMar>
              <w:top w:w="60" w:type="dxa"/>
              <w:bottom w:w="60" w:type="dxa"/>
              <w:left w:w="80" w:type="dxa"/>
              <w:right w:w="80" w:type="dxa"/>
            </w:tcMar>
          </w:tcPr>
          <w:p>
            <w:r>
              <w:rPr>
                <w:sz w:val="19"/>
              </w:rPr>
              <w:t>Flujo guiado para validación de garantías, reemplazos de micas y políticas por país.</w:t>
            </w:r>
          </w:p>
        </w:tc>
      </w:tr>
      <w:tr>
        <w:tc>
          <w:tcPr>
            <w:tcW w:type="dxa" w:w="3120"/>
            <w:tcMar>
              <w:top w:w="60" w:type="dxa"/>
              <w:bottom w:w="60" w:type="dxa"/>
              <w:left w:w="80" w:type="dxa"/>
              <w:right w:w="80" w:type="dxa"/>
            </w:tcMar>
          </w:tcPr>
          <w:p>
            <w:r>
              <w:rPr>
                <w:sz w:val="19"/>
              </w:rPr>
              <w:t>8</w:t>
            </w:r>
          </w:p>
        </w:tc>
        <w:tc>
          <w:tcPr>
            <w:tcW w:type="dxa" w:w="3120"/>
            <w:tcMar>
              <w:top w:w="60" w:type="dxa"/>
              <w:bottom w:w="60" w:type="dxa"/>
              <w:left w:w="80" w:type="dxa"/>
              <w:right w:w="80" w:type="dxa"/>
            </w:tcMar>
          </w:tcPr>
          <w:p>
            <w:r>
              <w:rPr>
                <w:sz w:val="19"/>
              </w:rPr>
              <w:t>pendientes (Control de Pendientes)</w:t>
            </w:r>
          </w:p>
        </w:tc>
        <w:tc>
          <w:tcPr>
            <w:tcW w:type="dxa" w:w="3120"/>
            <w:tcMar>
              <w:top w:w="60" w:type="dxa"/>
              <w:bottom w:w="60" w:type="dxa"/>
              <w:left w:w="80" w:type="dxa"/>
              <w:right w:w="80" w:type="dxa"/>
            </w:tcMar>
          </w:tcPr>
          <w:p>
            <w:r>
              <w:rPr>
                <w:sz w:val="19"/>
              </w:rPr>
              <w:t>Tablero de notas y pendientes operativos prioritarios por sucursal.</w:t>
            </w:r>
          </w:p>
        </w:tc>
      </w:tr>
      <w:tr>
        <w:tc>
          <w:tcPr>
            <w:tcW w:type="dxa" w:w="3120"/>
            <w:tcMar>
              <w:top w:w="60" w:type="dxa"/>
              <w:bottom w:w="60" w:type="dxa"/>
              <w:left w:w="80" w:type="dxa"/>
              <w:right w:w="80" w:type="dxa"/>
            </w:tcMar>
          </w:tcPr>
          <w:p>
            <w:r>
              <w:rPr>
                <w:sz w:val="19"/>
              </w:rPr>
              <w:t>9</w:t>
            </w:r>
          </w:p>
        </w:tc>
        <w:tc>
          <w:tcPr>
            <w:tcW w:type="dxa" w:w="3120"/>
            <w:tcMar>
              <w:top w:w="60" w:type="dxa"/>
              <w:bottom w:w="60" w:type="dxa"/>
              <w:left w:w="80" w:type="dxa"/>
              <w:right w:w="80" w:type="dxa"/>
            </w:tcMar>
          </w:tcPr>
          <w:p>
            <w:r>
              <w:rPr>
                <w:sz w:val="19"/>
              </w:rPr>
              <w:t>tareas (Tareas Asignadas)</w:t>
            </w:r>
          </w:p>
        </w:tc>
        <w:tc>
          <w:tcPr>
            <w:tcW w:type="dxa" w:w="3120"/>
            <w:tcMar>
              <w:top w:w="60" w:type="dxa"/>
              <w:bottom w:w="60" w:type="dxa"/>
              <w:left w:w="80" w:type="dxa"/>
              <w:right w:w="80" w:type="dxa"/>
            </w:tcMar>
          </w:tcPr>
          <w:p>
            <w:r>
              <w:rPr>
                <w:sz w:val="19"/>
              </w:rPr>
              <w:t>Asignación de actividades del Gerente de Área / Admin con checklist de cumplimiento.</w:t>
            </w:r>
          </w:p>
        </w:tc>
      </w:tr>
      <w:tr>
        <w:tc>
          <w:tcPr>
            <w:tcW w:type="dxa" w:w="3120"/>
            <w:tcMar>
              <w:top w:w="60" w:type="dxa"/>
              <w:bottom w:w="60" w:type="dxa"/>
              <w:left w:w="80" w:type="dxa"/>
              <w:right w:w="80" w:type="dxa"/>
            </w:tcMar>
          </w:tcPr>
          <w:p>
            <w:r>
              <w:rPr>
                <w:sz w:val="19"/>
              </w:rPr>
              <w:t>10</w:t>
            </w:r>
          </w:p>
        </w:tc>
        <w:tc>
          <w:tcPr>
            <w:tcW w:type="dxa" w:w="3120"/>
            <w:tcMar>
              <w:top w:w="60" w:type="dxa"/>
              <w:bottom w:w="60" w:type="dxa"/>
              <w:left w:w="80" w:type="dxa"/>
              <w:right w:w="80" w:type="dxa"/>
            </w:tcMar>
          </w:tcPr>
          <w:p>
            <w:r>
              <w:rPr>
                <w:sz w:val="19"/>
              </w:rPr>
              <w:t>campanas (Campañas y POP)</w:t>
            </w:r>
          </w:p>
        </w:tc>
        <w:tc>
          <w:tcPr>
            <w:tcW w:type="dxa" w:w="3120"/>
            <w:tcMar>
              <w:top w:w="60" w:type="dxa"/>
              <w:bottom w:w="60" w:type="dxa"/>
              <w:left w:w="80" w:type="dxa"/>
              <w:right w:w="80" w:type="dxa"/>
            </w:tcMar>
          </w:tcPr>
          <w:p>
            <w:r>
              <w:rPr>
                <w:sz w:val="19"/>
              </w:rPr>
              <w:t>Carga de evidencias fotográficas de vitrinas, stoppers y material publicitario.</w:t>
            </w:r>
          </w:p>
        </w:tc>
      </w:tr>
      <w:tr>
        <w:tc>
          <w:tcPr>
            <w:tcW w:type="dxa" w:w="3120"/>
            <w:tcMar>
              <w:top w:w="60" w:type="dxa"/>
              <w:bottom w:w="60" w:type="dxa"/>
              <w:left w:w="80" w:type="dxa"/>
              <w:right w:w="80" w:type="dxa"/>
            </w:tcMar>
          </w:tcPr>
          <w:p>
            <w:r>
              <w:rPr>
                <w:sz w:val="19"/>
              </w:rPr>
              <w:t>11</w:t>
            </w:r>
          </w:p>
        </w:tc>
        <w:tc>
          <w:tcPr>
            <w:tcW w:type="dxa" w:w="3120"/>
            <w:tcMar>
              <w:top w:w="60" w:type="dxa"/>
              <w:bottom w:w="60" w:type="dxa"/>
              <w:left w:w="80" w:type="dxa"/>
              <w:right w:w="80" w:type="dxa"/>
            </w:tcMar>
          </w:tcPr>
          <w:p>
            <w:r>
              <w:rPr>
                <w:sz w:val="19"/>
              </w:rPr>
              <w:t>presupuesto (Presupuesto y Metas)</w:t>
            </w:r>
          </w:p>
        </w:tc>
        <w:tc>
          <w:tcPr>
            <w:tcW w:type="dxa" w:w="3120"/>
            <w:tcMar>
              <w:top w:w="60" w:type="dxa"/>
              <w:bottom w:w="60" w:type="dxa"/>
              <w:left w:w="80" w:type="dxa"/>
              <w:right w:w="80" w:type="dxa"/>
            </w:tcMar>
          </w:tcPr>
          <w:p>
            <w:r>
              <w:rPr>
                <w:sz w:val="19"/>
              </w:rPr>
              <w:t>Tablero financiero con desglose de cuotas mensuales, tendencias y proyecciones.</w:t>
            </w:r>
          </w:p>
        </w:tc>
      </w:tr>
      <w:tr>
        <w:tc>
          <w:tcPr>
            <w:tcW w:type="dxa" w:w="3120"/>
            <w:tcMar>
              <w:top w:w="60" w:type="dxa"/>
              <w:bottom w:w="60" w:type="dxa"/>
              <w:left w:w="80" w:type="dxa"/>
              <w:right w:w="80" w:type="dxa"/>
            </w:tcMar>
          </w:tcPr>
          <w:p>
            <w:r>
              <w:rPr>
                <w:sz w:val="19"/>
              </w:rPr>
              <w:t>12</w:t>
            </w:r>
          </w:p>
        </w:tc>
        <w:tc>
          <w:tcPr>
            <w:tcW w:type="dxa" w:w="3120"/>
            <w:tcMar>
              <w:top w:w="60" w:type="dxa"/>
              <w:bottom w:w="60" w:type="dxa"/>
              <w:left w:w="80" w:type="dxa"/>
              <w:right w:w="80" w:type="dxa"/>
            </w:tcMar>
          </w:tcPr>
          <w:p>
            <w:r>
              <w:rPr>
                <w:sz w:val="19"/>
              </w:rPr>
              <w:t>reto (Reto del Día / Trivia)</w:t>
            </w:r>
          </w:p>
        </w:tc>
        <w:tc>
          <w:tcPr>
            <w:tcW w:type="dxa" w:w="3120"/>
            <w:tcMar>
              <w:top w:w="60" w:type="dxa"/>
              <w:bottom w:w="60" w:type="dxa"/>
              <w:left w:w="80" w:type="dxa"/>
              <w:right w:w="80" w:type="dxa"/>
            </w:tcMar>
          </w:tcPr>
          <w:p>
            <w:r>
              <w:rPr>
                <w:sz w:val="19"/>
              </w:rPr>
              <w:t>Módulo de gamificación y preguntas diarias sobre marcas, óptica y técnicas de venta.</w:t>
            </w:r>
          </w:p>
        </w:tc>
      </w:tr>
      <w:tr>
        <w:tc>
          <w:tcPr>
            <w:tcW w:type="dxa" w:w="3120"/>
            <w:tcMar>
              <w:top w:w="60" w:type="dxa"/>
              <w:bottom w:w="60" w:type="dxa"/>
              <w:left w:w="80" w:type="dxa"/>
              <w:right w:w="80" w:type="dxa"/>
            </w:tcMar>
          </w:tcPr>
          <w:p>
            <w:r>
              <w:rPr>
                <w:sz w:val="19"/>
              </w:rPr>
              <w:t>13</w:t>
            </w:r>
          </w:p>
        </w:tc>
        <w:tc>
          <w:tcPr>
            <w:tcW w:type="dxa" w:w="3120"/>
            <w:tcMar>
              <w:top w:w="60" w:type="dxa"/>
              <w:bottom w:w="60" w:type="dxa"/>
              <w:left w:w="80" w:type="dxa"/>
              <w:right w:w="80" w:type="dxa"/>
            </w:tcMar>
          </w:tcPr>
          <w:p>
            <w:r>
              <w:rPr>
                <w:sz w:val="19"/>
              </w:rPr>
              <w:t>vendedores (Panel de Asesores)</w:t>
            </w:r>
          </w:p>
        </w:tc>
        <w:tc>
          <w:tcPr>
            <w:tcW w:type="dxa" w:w="3120"/>
            <w:tcMar>
              <w:top w:w="60" w:type="dxa"/>
              <w:bottom w:w="60" w:type="dxa"/>
              <w:left w:w="80" w:type="dxa"/>
              <w:right w:w="80" w:type="dxa"/>
            </w:tcMar>
          </w:tcPr>
          <w:p>
            <w:r>
              <w:rPr>
                <w:sz w:val="19"/>
              </w:rPr>
              <w:t>Control de comisiones, horas trabajadas y métricas individuales por colaborador.</w:t>
            </w:r>
          </w:p>
        </w:tc>
      </w:tr>
      <w:tr>
        <w:tc>
          <w:tcPr>
            <w:tcW w:type="dxa" w:w="3120"/>
            <w:tcMar>
              <w:top w:w="60" w:type="dxa"/>
              <w:bottom w:w="60" w:type="dxa"/>
              <w:left w:w="80" w:type="dxa"/>
              <w:right w:w="80" w:type="dxa"/>
            </w:tcMar>
          </w:tcPr>
          <w:p>
            <w:r>
              <w:rPr>
                <w:sz w:val="19"/>
              </w:rPr>
              <w:t>14</w:t>
            </w:r>
          </w:p>
        </w:tc>
        <w:tc>
          <w:tcPr>
            <w:tcW w:type="dxa" w:w="3120"/>
            <w:tcMar>
              <w:top w:w="60" w:type="dxa"/>
              <w:bottom w:w="60" w:type="dxa"/>
              <w:left w:w="80" w:type="dxa"/>
              <w:right w:w="80" w:type="dxa"/>
            </w:tcMar>
          </w:tcPr>
          <w:p>
            <w:r>
              <w:rPr>
                <w:sz w:val="19"/>
              </w:rPr>
              <w:t>fedex (Logística FedEx)</w:t>
            </w:r>
          </w:p>
        </w:tc>
        <w:tc>
          <w:tcPr>
            <w:tcW w:type="dxa" w:w="3120"/>
            <w:tcMar>
              <w:top w:w="60" w:type="dxa"/>
              <w:bottom w:w="60" w:type="dxa"/>
              <w:left w:w="80" w:type="dxa"/>
              <w:right w:w="80" w:type="dxa"/>
            </w:tcMar>
          </w:tcPr>
          <w:p>
            <w:r>
              <w:rPr>
                <w:sz w:val="19"/>
              </w:rPr>
              <w:t>Generación de guías de envío, rastreo de traspasos entre tiendas y devoluciones.</w:t>
            </w:r>
          </w:p>
        </w:tc>
      </w:tr>
      <w:tr>
        <w:tc>
          <w:tcPr>
            <w:tcW w:type="dxa" w:w="3120"/>
            <w:tcMar>
              <w:top w:w="60" w:type="dxa"/>
              <w:bottom w:w="60" w:type="dxa"/>
              <w:left w:w="80" w:type="dxa"/>
              <w:right w:w="80" w:type="dxa"/>
            </w:tcMar>
          </w:tcPr>
          <w:p>
            <w:r>
              <w:rPr>
                <w:sz w:val="19"/>
              </w:rPr>
              <w:t>15</w:t>
            </w:r>
          </w:p>
        </w:tc>
        <w:tc>
          <w:tcPr>
            <w:tcW w:type="dxa" w:w="3120"/>
            <w:tcMar>
              <w:top w:w="60" w:type="dxa"/>
              <w:bottom w:w="60" w:type="dxa"/>
              <w:left w:w="80" w:type="dxa"/>
              <w:right w:w="80" w:type="dxa"/>
            </w:tcMar>
          </w:tcPr>
          <w:p>
            <w:r>
              <w:rPr>
                <w:sz w:val="19"/>
              </w:rPr>
              <w:t>simulador (Simulador de Ventas)</w:t>
            </w:r>
          </w:p>
        </w:tc>
        <w:tc>
          <w:tcPr>
            <w:tcW w:type="dxa" w:w="3120"/>
            <w:tcMar>
              <w:top w:w="60" w:type="dxa"/>
              <w:bottom w:w="60" w:type="dxa"/>
              <w:left w:w="80" w:type="dxa"/>
              <w:right w:w="80" w:type="dxa"/>
            </w:tcMar>
          </w:tcPr>
          <w:p>
            <w:r>
              <w:rPr>
                <w:sz w:val="19"/>
              </w:rPr>
              <w:t>Roleplay con IA para entrenar objeciones difíciles de clientes mediante chat o voz.</w:t>
            </w:r>
          </w:p>
        </w:tc>
      </w:tr>
      <w:tr>
        <w:tc>
          <w:tcPr>
            <w:tcW w:type="dxa" w:w="3120"/>
            <w:tcMar>
              <w:top w:w="60" w:type="dxa"/>
              <w:bottom w:w="60" w:type="dxa"/>
              <w:left w:w="80" w:type="dxa"/>
              <w:right w:w="80" w:type="dxa"/>
            </w:tcMar>
          </w:tcPr>
          <w:p>
            <w:r>
              <w:rPr>
                <w:sz w:val="19"/>
              </w:rPr>
              <w:t>16</w:t>
            </w:r>
          </w:p>
        </w:tc>
        <w:tc>
          <w:tcPr>
            <w:tcW w:type="dxa" w:w="3120"/>
            <w:tcMar>
              <w:top w:w="60" w:type="dxa"/>
              <w:bottom w:w="60" w:type="dxa"/>
              <w:left w:w="80" w:type="dxa"/>
              <w:right w:w="80" w:type="dxa"/>
            </w:tcMar>
          </w:tcPr>
          <w:p>
            <w:r>
              <w:rPr>
                <w:sz w:val="19"/>
              </w:rPr>
              <w:t>crm (CRM y Notificaciones)</w:t>
            </w:r>
          </w:p>
        </w:tc>
        <w:tc>
          <w:tcPr>
            <w:tcW w:type="dxa" w:w="3120"/>
            <w:tcMar>
              <w:top w:w="60" w:type="dxa"/>
              <w:bottom w:w="60" w:type="dxa"/>
              <w:left w:w="80" w:type="dxa"/>
              <w:right w:w="80" w:type="dxa"/>
            </w:tcMar>
          </w:tcPr>
          <w:p>
            <w:r>
              <w:rPr>
                <w:sz w:val="19"/>
              </w:rPr>
              <w:t>Gestión de cartera de clientes, aviso de mantenimiento al mes 11 y contacto vía WhatsApp.</w:t>
            </w:r>
          </w:p>
        </w:tc>
      </w:tr>
      <w:tr>
        <w:tc>
          <w:tcPr>
            <w:tcW w:type="dxa" w:w="3120"/>
            <w:tcMar>
              <w:top w:w="60" w:type="dxa"/>
              <w:bottom w:w="60" w:type="dxa"/>
              <w:left w:w="80" w:type="dxa"/>
              <w:right w:w="80" w:type="dxa"/>
            </w:tcMar>
          </w:tcPr>
          <w:p>
            <w:r>
              <w:rPr>
                <w:sz w:val="19"/>
              </w:rPr>
              <w:t>17</w:t>
            </w:r>
          </w:p>
        </w:tc>
        <w:tc>
          <w:tcPr>
            <w:tcW w:type="dxa" w:w="3120"/>
            <w:tcMar>
              <w:top w:w="60" w:type="dxa"/>
              <w:bottom w:w="60" w:type="dxa"/>
              <w:left w:w="80" w:type="dxa"/>
              <w:right w:w="80" w:type="dxa"/>
            </w:tcMar>
          </w:tcPr>
          <w:p>
            <w:r>
              <w:rPr>
                <w:sz w:val="19"/>
              </w:rPr>
              <w:t>facturacion (Facturación SAT)</w:t>
            </w:r>
          </w:p>
        </w:tc>
        <w:tc>
          <w:tcPr>
            <w:tcW w:type="dxa" w:w="3120"/>
            <w:tcMar>
              <w:top w:w="60" w:type="dxa"/>
              <w:bottom w:w="60" w:type="dxa"/>
              <w:left w:w="80" w:type="dxa"/>
              <w:right w:w="80" w:type="dxa"/>
            </w:tcMar>
          </w:tcPr>
          <w:p>
            <w:r>
              <w:rPr>
                <w:sz w:val="19"/>
              </w:rPr>
              <w:t>Registro de solicitudes de factura de clientes y corroboración de estatus fiscal.</w:t>
            </w:r>
          </w:p>
        </w:tc>
      </w:tr>
      <w:tr>
        <w:tc>
          <w:tcPr>
            <w:tcW w:type="dxa" w:w="3120"/>
            <w:tcMar>
              <w:top w:w="60" w:type="dxa"/>
              <w:bottom w:w="60" w:type="dxa"/>
              <w:left w:w="80" w:type="dxa"/>
              <w:right w:w="80" w:type="dxa"/>
            </w:tcMar>
          </w:tcPr>
          <w:p>
            <w:r>
              <w:rPr>
                <w:sz w:val="19"/>
              </w:rPr>
              <w:t>18</w:t>
            </w:r>
          </w:p>
        </w:tc>
        <w:tc>
          <w:tcPr>
            <w:tcW w:type="dxa" w:w="3120"/>
            <w:tcMar>
              <w:top w:w="60" w:type="dxa"/>
              <w:bottom w:w="60" w:type="dxa"/>
              <w:left w:w="80" w:type="dxa"/>
              <w:right w:w="80" w:type="dxa"/>
            </w:tcMar>
          </w:tcPr>
          <w:p>
            <w:r>
              <w:rPr>
                <w:sz w:val="19"/>
              </w:rPr>
              <w:t>meta_semanal (Meta Semanal)</w:t>
            </w:r>
          </w:p>
        </w:tc>
        <w:tc>
          <w:tcPr>
            <w:tcW w:type="dxa" w:w="3120"/>
            <w:tcMar>
              <w:top w:w="60" w:type="dxa"/>
              <w:bottom w:w="60" w:type="dxa"/>
              <w:left w:w="80" w:type="dxa"/>
              <w:right w:w="80" w:type="dxa"/>
            </w:tcMar>
          </w:tcPr>
          <w:p>
            <w:r>
              <w:rPr>
                <w:sz w:val="19"/>
              </w:rPr>
              <w:t>Desglose de objetivos de venta por día de la semana para optimizar cobertura de personal.</w:t>
            </w:r>
          </w:p>
        </w:tc>
      </w:tr>
      <w:tr>
        <w:tc>
          <w:tcPr>
            <w:tcW w:type="dxa" w:w="3120"/>
            <w:tcMar>
              <w:top w:w="60" w:type="dxa"/>
              <w:bottom w:w="60" w:type="dxa"/>
              <w:left w:w="80" w:type="dxa"/>
              <w:right w:w="80" w:type="dxa"/>
            </w:tcMar>
          </w:tcPr>
          <w:p>
            <w:r>
              <w:rPr>
                <w:sz w:val="19"/>
              </w:rPr>
              <w:t>19</w:t>
            </w:r>
          </w:p>
        </w:tc>
        <w:tc>
          <w:tcPr>
            <w:tcW w:type="dxa" w:w="3120"/>
            <w:tcMar>
              <w:top w:w="60" w:type="dxa"/>
              <w:bottom w:w="60" w:type="dxa"/>
              <w:left w:w="80" w:type="dxa"/>
              <w:right w:w="80" w:type="dxa"/>
            </w:tcMar>
          </w:tcPr>
          <w:p>
            <w:r>
              <w:rPr>
                <w:sz w:val="19"/>
              </w:rPr>
              <w:t>weekly (Weekly Review)</w:t>
            </w:r>
          </w:p>
        </w:tc>
        <w:tc>
          <w:tcPr>
            <w:tcW w:type="dxa" w:w="3120"/>
            <w:tcMar>
              <w:top w:w="60" w:type="dxa"/>
              <w:bottom w:w="60" w:type="dxa"/>
              <w:left w:w="80" w:type="dxa"/>
              <w:right w:w="80" w:type="dxa"/>
            </w:tcMar>
          </w:tcPr>
          <w:p>
            <w:r>
              <w:rPr>
                <w:sz w:val="19"/>
              </w:rPr>
              <w:t>Resumen ejecutivo semanal con gráficos de cumplimiento e indicadores clave (KPIs).</w:t>
            </w:r>
          </w:p>
        </w:tc>
      </w:tr>
      <w:tr>
        <w:tc>
          <w:tcPr>
            <w:tcW w:type="dxa" w:w="3120"/>
            <w:tcMar>
              <w:top w:w="60" w:type="dxa"/>
              <w:bottom w:w="60" w:type="dxa"/>
              <w:left w:w="80" w:type="dxa"/>
              <w:right w:w="80" w:type="dxa"/>
            </w:tcMar>
          </w:tcPr>
          <w:p>
            <w:r>
              <w:rPr>
                <w:sz w:val="19"/>
              </w:rPr>
              <w:t>20</w:t>
            </w:r>
          </w:p>
        </w:tc>
        <w:tc>
          <w:tcPr>
            <w:tcW w:type="dxa" w:w="3120"/>
            <w:tcMar>
              <w:top w:w="60" w:type="dxa"/>
              <w:bottom w:w="60" w:type="dxa"/>
              <w:left w:w="80" w:type="dxa"/>
              <w:right w:w="80" w:type="dxa"/>
            </w:tcMar>
          </w:tcPr>
          <w:p>
            <w:r>
              <w:rPr>
                <w:sz w:val="19"/>
              </w:rPr>
              <w:t>polar (Catálogo Polarizados)</w:t>
            </w:r>
          </w:p>
        </w:tc>
        <w:tc>
          <w:tcPr>
            <w:tcW w:type="dxa" w:w="3120"/>
            <w:tcMar>
              <w:top w:w="60" w:type="dxa"/>
              <w:bottom w:w="60" w:type="dxa"/>
              <w:left w:w="80" w:type="dxa"/>
              <w:right w:w="80" w:type="dxa"/>
            </w:tcMar>
          </w:tcPr>
          <w:p>
            <w:r>
              <w:rPr>
                <w:sz w:val="19"/>
              </w:rPr>
              <w:t>Consulta técnica de micas polarizadas, tecnologías Chromance, Prizm y Polarized Plus.</w:t>
            </w:r>
          </w:p>
        </w:tc>
      </w:tr>
      <w:tr>
        <w:tc>
          <w:tcPr>
            <w:tcW w:type="dxa" w:w="3120"/>
            <w:tcMar>
              <w:top w:w="60" w:type="dxa"/>
              <w:bottom w:w="60" w:type="dxa"/>
              <w:left w:w="80" w:type="dxa"/>
              <w:right w:w="80" w:type="dxa"/>
            </w:tcMar>
          </w:tcPr>
          <w:p>
            <w:r>
              <w:rPr>
                <w:sz w:val="19"/>
              </w:rPr>
              <w:t>21</w:t>
            </w:r>
          </w:p>
        </w:tc>
        <w:tc>
          <w:tcPr>
            <w:tcW w:type="dxa" w:w="3120"/>
            <w:tcMar>
              <w:top w:w="60" w:type="dxa"/>
              <w:bottom w:w="60" w:type="dxa"/>
              <w:left w:w="80" w:type="dxa"/>
              <w:right w:w="80" w:type="dxa"/>
            </w:tcMar>
          </w:tcPr>
          <w:p>
            <w:r>
              <w:rPr>
                <w:sz w:val="19"/>
              </w:rPr>
              <w:t>ciclicos (Inventarios Cíclicos)</w:t>
            </w:r>
          </w:p>
        </w:tc>
        <w:tc>
          <w:tcPr>
            <w:tcW w:type="dxa" w:w="3120"/>
            <w:tcMar>
              <w:top w:w="60" w:type="dxa"/>
              <w:bottom w:w="60" w:type="dxa"/>
              <w:left w:w="80" w:type="dxa"/>
              <w:right w:w="80" w:type="dxa"/>
            </w:tcMar>
          </w:tcPr>
          <w:p>
            <w:r>
              <w:rPr>
                <w:sz w:val="19"/>
              </w:rPr>
              <w:t>Conteo sistemático de producto en piso de venta y cajones para control de mermas.</w:t>
            </w:r>
          </w:p>
        </w:tc>
      </w:tr>
      <w:tr>
        <w:tc>
          <w:tcPr>
            <w:tcW w:type="dxa" w:w="3120"/>
            <w:tcMar>
              <w:top w:w="60" w:type="dxa"/>
              <w:bottom w:w="60" w:type="dxa"/>
              <w:left w:w="80" w:type="dxa"/>
              <w:right w:w="80" w:type="dxa"/>
            </w:tcMar>
          </w:tcPr>
          <w:p>
            <w:r>
              <w:rPr>
                <w:sz w:val="19"/>
              </w:rPr>
              <w:t>22</w:t>
            </w:r>
          </w:p>
        </w:tc>
        <w:tc>
          <w:tcPr>
            <w:tcW w:type="dxa" w:w="3120"/>
            <w:tcMar>
              <w:top w:w="60" w:type="dxa"/>
              <w:bottom w:w="60" w:type="dxa"/>
              <w:left w:w="80" w:type="dxa"/>
              <w:right w:w="80" w:type="dxa"/>
            </w:tcMar>
          </w:tcPr>
          <w:p>
            <w:r>
              <w:rPr>
                <w:sz w:val="19"/>
              </w:rPr>
              <w:t>descuentos (Matriz de Descuentos)</w:t>
            </w:r>
          </w:p>
        </w:tc>
        <w:tc>
          <w:tcPr>
            <w:tcW w:type="dxa" w:w="3120"/>
            <w:tcMar>
              <w:top w:w="60" w:type="dxa"/>
              <w:bottom w:w="60" w:type="dxa"/>
              <w:left w:w="80" w:type="dxa"/>
              <w:right w:w="80" w:type="dxa"/>
            </w:tcMar>
          </w:tcPr>
          <w:p>
            <w:r>
              <w:rPr>
                <w:sz w:val="19"/>
              </w:rPr>
              <w:t>Calculadora y reglas vigentes de promociones comerciales y descuentos autorizados.</w:t>
            </w:r>
          </w:p>
        </w:tc>
      </w:tr>
      <w:tr>
        <w:tc>
          <w:tcPr>
            <w:tcW w:type="dxa" w:w="3120"/>
            <w:tcMar>
              <w:top w:w="60" w:type="dxa"/>
              <w:bottom w:w="60" w:type="dxa"/>
              <w:left w:w="80" w:type="dxa"/>
              <w:right w:w="80" w:type="dxa"/>
            </w:tcMar>
          </w:tcPr>
          <w:p>
            <w:r>
              <w:rPr>
                <w:sz w:val="19"/>
              </w:rPr>
              <w:t>23</w:t>
            </w:r>
          </w:p>
        </w:tc>
        <w:tc>
          <w:tcPr>
            <w:tcW w:type="dxa" w:w="3120"/>
            <w:tcMar>
              <w:top w:w="60" w:type="dxa"/>
              <w:bottom w:w="60" w:type="dxa"/>
              <w:left w:w="80" w:type="dxa"/>
              <w:right w:w="80" w:type="dxa"/>
            </w:tcMar>
          </w:tcPr>
          <w:p>
            <w:r>
              <w:rPr>
                <w:sz w:val="19"/>
              </w:rPr>
              <w:t>panamericano (Panamericano)</w:t>
            </w:r>
          </w:p>
        </w:tc>
        <w:tc>
          <w:tcPr>
            <w:tcW w:type="dxa" w:w="3120"/>
            <w:tcMar>
              <w:top w:w="60" w:type="dxa"/>
              <w:bottom w:w="60" w:type="dxa"/>
              <w:left w:w="80" w:type="dxa"/>
              <w:right w:w="80" w:type="dxa"/>
            </w:tcMar>
          </w:tcPr>
          <w:p>
            <w:r>
              <w:rPr>
                <w:sz w:val="19"/>
              </w:rPr>
              <w:t>Registro de recolección de valores en efectivo y resguardo de fichas bancarias.</w:t>
            </w:r>
          </w:p>
        </w:tc>
      </w:tr>
      <w:tr>
        <w:tc>
          <w:tcPr>
            <w:tcW w:type="dxa" w:w="3120"/>
            <w:tcMar>
              <w:top w:w="60" w:type="dxa"/>
              <w:bottom w:w="60" w:type="dxa"/>
              <w:left w:w="80" w:type="dxa"/>
              <w:right w:w="80" w:type="dxa"/>
            </w:tcMar>
          </w:tcPr>
          <w:p>
            <w:r>
              <w:rPr>
                <w:sz w:val="19"/>
              </w:rPr>
              <w:t>24</w:t>
            </w:r>
          </w:p>
        </w:tc>
        <w:tc>
          <w:tcPr>
            <w:tcW w:type="dxa" w:w="3120"/>
            <w:tcMar>
              <w:top w:w="60" w:type="dxa"/>
              <w:bottom w:w="60" w:type="dxa"/>
              <w:left w:w="80" w:type="dxa"/>
              <w:right w:w="80" w:type="dxa"/>
            </w:tcMar>
          </w:tcPr>
          <w:p>
            <w:r>
              <w:rPr>
                <w:sz w:val="19"/>
              </w:rPr>
              <w:t>disa (DiSA - Auditoría Digital)</w:t>
            </w:r>
          </w:p>
        </w:tc>
        <w:tc>
          <w:tcPr>
            <w:tcW w:type="dxa" w:w="3120"/>
            <w:tcMar>
              <w:top w:w="60" w:type="dxa"/>
              <w:bottom w:w="60" w:type="dxa"/>
              <w:left w:w="80" w:type="dxa"/>
              <w:right w:w="80" w:type="dxa"/>
            </w:tcMar>
          </w:tcPr>
          <w:p>
            <w:r>
              <w:rPr>
                <w:sz w:val="19"/>
              </w:rPr>
              <w:t>Carga de cortes panorámicos, visor de fotos, calendario semáforo inteligente y aclaraciones.</w:t>
            </w:r>
          </w:p>
        </w:tc>
      </w:tr>
      <w:tr>
        <w:tc>
          <w:tcPr>
            <w:tcW w:type="dxa" w:w="3120"/>
            <w:tcMar>
              <w:top w:w="60" w:type="dxa"/>
              <w:bottom w:w="60" w:type="dxa"/>
              <w:left w:w="80" w:type="dxa"/>
              <w:right w:w="80" w:type="dxa"/>
            </w:tcMar>
          </w:tcPr>
          <w:p>
            <w:r>
              <w:rPr>
                <w:sz w:val="19"/>
              </w:rPr>
              <w:t>25</w:t>
            </w:r>
          </w:p>
        </w:tc>
        <w:tc>
          <w:tcPr>
            <w:tcW w:type="dxa" w:w="3120"/>
            <w:tcMar>
              <w:top w:w="60" w:type="dxa"/>
              <w:bottom w:w="60" w:type="dxa"/>
              <w:left w:w="80" w:type="dxa"/>
              <w:right w:w="80" w:type="dxa"/>
            </w:tcMar>
          </w:tcPr>
          <w:p>
            <w:r>
              <w:rPr>
                <w:sz w:val="19"/>
              </w:rPr>
              <w:t>enfoque_diario (Enfoque Diario)</w:t>
            </w:r>
          </w:p>
        </w:tc>
        <w:tc>
          <w:tcPr>
            <w:tcW w:type="dxa" w:w="3120"/>
            <w:tcMar>
              <w:top w:w="60" w:type="dxa"/>
              <w:bottom w:w="60" w:type="dxa"/>
              <w:left w:w="80" w:type="dxa"/>
              <w:right w:w="80" w:type="dxa"/>
            </w:tcMar>
          </w:tcPr>
          <w:p>
            <w:r>
              <w:rPr>
                <w:sz w:val="19"/>
              </w:rPr>
              <w:t>Plan de acción diario por hora, ticket promedio y piezas por transacción (UPT).</w:t>
            </w:r>
          </w:p>
        </w:tc>
      </w:tr>
      <w:tr>
        <w:tc>
          <w:tcPr>
            <w:tcW w:type="dxa" w:w="3120"/>
            <w:tcMar>
              <w:top w:w="60" w:type="dxa"/>
              <w:bottom w:w="60" w:type="dxa"/>
              <w:left w:w="80" w:type="dxa"/>
              <w:right w:w="80" w:type="dxa"/>
            </w:tcMar>
          </w:tcPr>
          <w:p>
            <w:r>
              <w:rPr>
                <w:sz w:val="19"/>
              </w:rPr>
              <w:t>26</w:t>
            </w:r>
          </w:p>
        </w:tc>
        <w:tc>
          <w:tcPr>
            <w:tcW w:type="dxa" w:w="3120"/>
            <w:tcMar>
              <w:top w:w="60" w:type="dxa"/>
              <w:bottom w:w="60" w:type="dxa"/>
              <w:left w:w="80" w:type="dxa"/>
              <w:right w:w="80" w:type="dxa"/>
            </w:tcMar>
          </w:tcPr>
          <w:p>
            <w:r>
              <w:rPr>
                <w:sz w:val="19"/>
              </w:rPr>
              <w:t>enfoque_semanal (Enfoque Semanal)</w:t>
            </w:r>
          </w:p>
        </w:tc>
        <w:tc>
          <w:tcPr>
            <w:tcW w:type="dxa" w:w="3120"/>
            <w:tcMar>
              <w:top w:w="60" w:type="dxa"/>
              <w:bottom w:w="60" w:type="dxa"/>
              <w:left w:w="80" w:type="dxa"/>
              <w:right w:w="80" w:type="dxa"/>
            </w:tcMar>
          </w:tcPr>
          <w:p>
            <w:r>
              <w:rPr>
                <w:sz w:val="19"/>
              </w:rPr>
              <w:t>Planificación táctica semanal con seguimiento acumulado contra el presupuesto.</w:t>
            </w:r>
          </w:p>
        </w:tc>
      </w:tr>
      <w:tr>
        <w:tc>
          <w:tcPr>
            <w:tcW w:type="dxa" w:w="3120"/>
            <w:tcMar>
              <w:top w:w="60" w:type="dxa"/>
              <w:bottom w:w="60" w:type="dxa"/>
              <w:left w:w="80" w:type="dxa"/>
              <w:right w:w="80" w:type="dxa"/>
            </w:tcMar>
          </w:tcPr>
          <w:p>
            <w:r>
              <w:rPr>
                <w:sz w:val="19"/>
              </w:rPr>
              <w:t>27</w:t>
            </w:r>
          </w:p>
        </w:tc>
        <w:tc>
          <w:tcPr>
            <w:tcW w:type="dxa" w:w="3120"/>
            <w:tcMar>
              <w:top w:w="60" w:type="dxa"/>
              <w:bottom w:w="60" w:type="dxa"/>
              <w:left w:w="80" w:type="dxa"/>
              <w:right w:w="80" w:type="dxa"/>
            </w:tcMar>
          </w:tcPr>
          <w:p>
            <w:r>
              <w:rPr>
                <w:sz w:val="19"/>
              </w:rPr>
              <w:t>parroquiales_minutas (Avisos)</w:t>
            </w:r>
          </w:p>
        </w:tc>
        <w:tc>
          <w:tcPr>
            <w:tcW w:type="dxa" w:w="3120"/>
            <w:tcMar>
              <w:top w:w="60" w:type="dxa"/>
              <w:bottom w:w="60" w:type="dxa"/>
              <w:left w:w="80" w:type="dxa"/>
              <w:right w:w="80" w:type="dxa"/>
            </w:tcMar>
          </w:tcPr>
          <w:p>
            <w:r>
              <w:rPr>
                <w:sz w:val="19"/>
              </w:rPr>
              <w:t>Tablero de comunicados urgentes corporativos y minutas de juntas de gerencia.</w:t>
            </w:r>
          </w:p>
        </w:tc>
      </w:tr>
      <w:tr>
        <w:tc>
          <w:tcPr>
            <w:tcW w:type="dxa" w:w="3120"/>
            <w:tcMar>
              <w:top w:w="60" w:type="dxa"/>
              <w:bottom w:w="60" w:type="dxa"/>
              <w:left w:w="80" w:type="dxa"/>
              <w:right w:w="80" w:type="dxa"/>
            </w:tcMar>
          </w:tcPr>
          <w:p>
            <w:r>
              <w:rPr>
                <w:sz w:val="19"/>
              </w:rPr>
              <w:t>28</w:t>
            </w:r>
          </w:p>
        </w:tc>
        <w:tc>
          <w:tcPr>
            <w:tcW w:type="dxa" w:w="3120"/>
            <w:tcMar>
              <w:top w:w="60" w:type="dxa"/>
              <w:bottom w:w="60" w:type="dxa"/>
              <w:left w:w="80" w:type="dxa"/>
              <w:right w:w="80" w:type="dxa"/>
            </w:tcMar>
          </w:tcPr>
          <w:p>
            <w:r>
              <w:rPr>
                <w:sz w:val="19"/>
              </w:rPr>
              <w:t>dashboard (Dashboard Ejecutivo)</w:t>
            </w:r>
          </w:p>
        </w:tc>
        <w:tc>
          <w:tcPr>
            <w:tcW w:type="dxa" w:w="3120"/>
            <w:tcMar>
              <w:top w:w="60" w:type="dxa"/>
              <w:bottom w:w="60" w:type="dxa"/>
              <w:left w:w="80" w:type="dxa"/>
              <w:right w:w="80" w:type="dxa"/>
            </w:tcMar>
          </w:tcPr>
          <w:p>
            <w:r>
              <w:rPr>
                <w:sz w:val="19"/>
              </w:rPr>
              <w:t>Panel BI administrativo con filtros por Zonas Nacionales y Regiones operativas.</w:t>
            </w:r>
          </w:p>
        </w:tc>
      </w:tr>
      <w:tr>
        <w:tc>
          <w:tcPr>
            <w:tcW w:type="dxa" w:w="3120"/>
            <w:tcMar>
              <w:top w:w="60" w:type="dxa"/>
              <w:bottom w:w="60" w:type="dxa"/>
              <w:left w:w="80" w:type="dxa"/>
              <w:right w:w="80" w:type="dxa"/>
            </w:tcMar>
          </w:tcPr>
          <w:p>
            <w:r>
              <w:rPr>
                <w:sz w:val="19"/>
              </w:rPr>
              <w:t>29</w:t>
            </w:r>
          </w:p>
        </w:tc>
        <w:tc>
          <w:tcPr>
            <w:tcW w:type="dxa" w:w="3120"/>
            <w:tcMar>
              <w:top w:w="60" w:type="dxa"/>
              <w:bottom w:w="60" w:type="dxa"/>
              <w:left w:w="80" w:type="dxa"/>
              <w:right w:w="80" w:type="dxa"/>
            </w:tcMar>
          </w:tcPr>
          <w:p>
            <w:r>
              <w:rPr>
                <w:sz w:val="19"/>
              </w:rPr>
              <w:t>admin_trivia (Admin de Trivias)</w:t>
            </w:r>
          </w:p>
        </w:tc>
        <w:tc>
          <w:tcPr>
            <w:tcW w:type="dxa" w:w="3120"/>
            <w:tcMar>
              <w:top w:w="60" w:type="dxa"/>
              <w:bottom w:w="60" w:type="dxa"/>
              <w:left w:w="80" w:type="dxa"/>
              <w:right w:w="80" w:type="dxa"/>
            </w:tcMar>
          </w:tcPr>
          <w:p>
            <w:r>
              <w:rPr>
                <w:sz w:val="19"/>
              </w:rPr>
              <w:t>Gestor de preguntas, opciones y puntajes para el módulo de Reto del Día.</w:t>
            </w:r>
          </w:p>
        </w:tc>
      </w:tr>
      <w:tr>
        <w:tc>
          <w:tcPr>
            <w:tcW w:type="dxa" w:w="3120"/>
            <w:tcMar>
              <w:top w:w="60" w:type="dxa"/>
              <w:bottom w:w="60" w:type="dxa"/>
              <w:left w:w="80" w:type="dxa"/>
              <w:right w:w="80" w:type="dxa"/>
            </w:tcMar>
          </w:tcPr>
          <w:p>
            <w:r>
              <w:rPr>
                <w:sz w:val="19"/>
              </w:rPr>
              <w:t>30</w:t>
            </w:r>
          </w:p>
        </w:tc>
        <w:tc>
          <w:tcPr>
            <w:tcW w:type="dxa" w:w="3120"/>
            <w:tcMar>
              <w:top w:w="60" w:type="dxa"/>
              <w:bottom w:w="60" w:type="dxa"/>
              <w:left w:w="80" w:type="dxa"/>
              <w:right w:w="80" w:type="dxa"/>
            </w:tcMar>
          </w:tcPr>
          <w:p>
            <w:r>
              <w:rPr>
                <w:sz w:val="19"/>
              </w:rPr>
              <w:t>bitacora (Bitácora y Logs)</w:t>
            </w:r>
          </w:p>
        </w:tc>
        <w:tc>
          <w:tcPr>
            <w:tcW w:type="dxa" w:w="3120"/>
            <w:tcMar>
              <w:top w:w="60" w:type="dxa"/>
              <w:bottom w:w="60" w:type="dxa"/>
              <w:left w:w="80" w:type="dxa"/>
              <w:right w:w="80" w:type="dxa"/>
            </w:tcMar>
          </w:tcPr>
          <w:p>
            <w:r>
              <w:rPr>
                <w:sz w:val="19"/>
              </w:rPr>
              <w:t>Registro inmutable de actividad del sistema, accesos, cambios y eventos de auditoría.</w:t>
            </w:r>
          </w:p>
        </w:tc>
      </w:tr>
    </w:tbl>
    <w:p>
      <w:pPr>
        <w:keepNext/>
        <w:spacing w:before="320" w:after="120"/>
      </w:pPr>
      <w:r>
        <w:rPr>
          <w:rFonts w:ascii="Arial" w:hAnsi="Arial"/>
          <w:b/>
          <w:color w:val="1E3A8A"/>
          <w:sz w:val="32"/>
        </w:rPr>
        <w:t>6. RETOS TÉCNICOS SUPERADOS</w:t>
      </w:r>
    </w:p>
    <w:p>
      <w:pPr>
        <w:pStyle w:val="ListBullet"/>
        <w:spacing w:after="60" w:line="276" w:lineRule="auto"/>
      </w:pPr>
      <w:r>
        <w:rPr>
          <w:rFonts w:ascii="Calibri" w:hAnsi="Calibri"/>
          <w:b/>
          <w:color w:val="0F172A"/>
          <w:sz w:val="22"/>
        </w:rPr>
        <w:t>Persistencia y Calidad en DiSA:</w:t>
      </w:r>
      <w:r>
        <w:rPr>
          <w:rFonts w:ascii="Calibri" w:hAnsi="Calibri"/>
          <w:color w:val="1E293B"/>
          <w:sz w:val="22"/>
        </w:rPr>
        <w:t xml:space="preserve"> Se reemplazaron binarizaciones destructivas (Sauvola/Otsu) por un pipeline de recorte de 4 puntos que preserva la fidelidad de los sensores de cámara en tickets térmicos.</w:t>
      </w:r>
    </w:p>
    <w:p>
      <w:pPr>
        <w:pStyle w:val="ListBullet"/>
        <w:spacing w:after="60" w:line="276" w:lineRule="auto"/>
      </w:pPr>
      <w:r>
        <w:rPr>
          <w:rFonts w:ascii="Calibri" w:hAnsi="Calibri"/>
          <w:b/>
          <w:color w:val="0F172A"/>
          <w:sz w:val="22"/>
        </w:rPr>
        <w:t>Concurrencia de Voz en Windows COM:</w:t>
      </w:r>
      <w:r>
        <w:rPr>
          <w:rFonts w:ascii="Calibri" w:hAnsi="Calibri"/>
          <w:color w:val="1E293B"/>
          <w:sz w:val="22"/>
        </w:rPr>
        <w:t xml:space="preserve"> Se implementó aislamiento de subprocesos y llamadas explícitas a pythoncom.CoInitialize() para evitar caídas del hilo principal de la aplicación.</w:t>
      </w:r>
    </w:p>
    <w:p>
      <w:pPr>
        <w:pStyle w:val="ListBullet"/>
        <w:spacing w:after="60" w:line="276" w:lineRule="auto"/>
      </w:pPr>
      <w:r>
        <w:rPr>
          <w:rFonts w:ascii="Calibri" w:hAnsi="Calibri"/>
          <w:b/>
          <w:color w:val="0F172A"/>
          <w:sz w:val="22"/>
        </w:rPr>
        <w:t>Calendario Semáforo Personalizado:</w:t>
      </w:r>
      <w:r>
        <w:rPr>
          <w:rFonts w:ascii="Calibri" w:hAnsi="Calibri"/>
          <w:color w:val="1E293B"/>
          <w:sz w:val="22"/>
        </w:rPr>
        <w:t xml:space="preserve"> Creación de un modal reactivo (calendar_modal) en disa_view.py basado en calendar.monthcalendar con traducción al español y semáforo cuadricromático.</w:t>
      </w:r>
    </w:p>
    <w:p>
      <w:pPr>
        <w:keepNext/>
        <w:spacing w:before="320" w:after="120"/>
      </w:pPr>
      <w:r>
        <w:rPr>
          <w:rFonts w:ascii="Arial" w:hAnsi="Arial"/>
          <w:b/>
          <w:color w:val="1E3A8A"/>
          <w:sz w:val="32"/>
        </w:rPr>
        <w:t>7. PLAN DE MEJORAS FUTURAS E INTEGRACIÓN CON GEMINI MULTIMODAL</w:t>
      </w:r>
    </w:p>
    <w:p>
      <w:pPr>
        <w:keepNext/>
        <w:spacing w:before="240" w:after="80"/>
      </w:pPr>
      <w:r>
        <w:rPr>
          <w:rFonts w:ascii="Arial" w:hAnsi="Arial"/>
          <w:b/>
          <w:color w:val="4F46E5"/>
          <w:sz w:val="26"/>
        </w:rPr>
        <w:t>7.1 Gemini 1.5 Vision API en DiSA (Auditoría Contable Inteligente)</w:t>
      </w:r>
    </w:p>
    <w:p>
      <w:pPr>
        <w:spacing w:after="120" w:line="276" w:lineRule="auto"/>
      </w:pPr>
      <w:r>
        <w:rPr>
          <w:rFonts w:ascii="Calibri" w:hAnsi="Calibri"/>
          <w:color w:val="1E293B"/>
          <w:sz w:val="22"/>
        </w:rPr>
        <w:t>Al subir el Corte Z, Gemini Vision extrae el desglose de importes. Si existe venta en efectivo mayor a $0, verifica de forma automática si la foto de la ficha de Panamericano fue cargada y si los montos coinciden. En caso de discrepancia, marca el día en amarillo y redacta la observación contable.</w:t>
      </w:r>
    </w:p>
    <w:p>
      <w:pPr>
        <w:keepNext/>
        <w:spacing w:before="240" w:after="80"/>
      </w:pPr>
      <w:r>
        <w:rPr>
          <w:rFonts w:ascii="Arial" w:hAnsi="Arial"/>
          <w:b/>
          <w:color w:val="4F46E5"/>
          <w:sz w:val="26"/>
        </w:rPr>
        <w:t>7.2 Gemini 1.5 Vision API en Campañas y Material POP</w:t>
      </w:r>
    </w:p>
    <w:p>
      <w:pPr>
        <w:spacing w:after="120" w:line="276" w:lineRule="auto"/>
      </w:pPr>
      <w:r>
        <w:rPr>
          <w:rFonts w:ascii="Calibri" w:hAnsi="Calibri"/>
          <w:color w:val="1E293B"/>
          <w:sz w:val="22"/>
        </w:rPr>
        <w:t>Auditoría visual automática de fotografías de vitrinas, comprobando si el montaje de marcas (Ray-Ban, Oakley, Prada) y la orientación de stoppers cumplen con el planograma oficial antes de aprobar la tarea.</w:t>
      </w:r>
    </w:p>
    <w:p>
      <w:pPr>
        <w:keepNext/>
        <w:spacing w:before="240" w:after="80"/>
      </w:pPr>
      <w:r>
        <w:rPr>
          <w:rFonts w:ascii="Arial" w:hAnsi="Arial"/>
          <w:b/>
          <w:color w:val="4F46E5"/>
          <w:sz w:val="26"/>
        </w:rPr>
        <w:t>7.3 Optimización del Motor RAG y Chunking Semántico Jerárquico</w:t>
      </w:r>
    </w:p>
    <w:p>
      <w:pPr>
        <w:spacing w:after="120" w:line="276" w:lineRule="auto"/>
      </w:pPr>
      <w:r>
        <w:rPr>
          <w:rFonts w:ascii="Calibri" w:hAnsi="Calibri"/>
          <w:color w:val="1E293B"/>
          <w:sz w:val="22"/>
        </w:rPr>
        <w:t>Reestructuración de la base de conocimientos para fragmentar por secciones lógicas en lugar de cortes ciegos por caracteres, incorporando un paso de síntesis con LLM que entregue respuestas redactadas paso a paso en lugar de texto crudo de los manuales.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