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0F172A"/>
          <w:sz w:val="52"/>
        </w:rPr>
        <w:t>LUXO AI SYSTEM v7.7</w:t>
        <w:br/>
        <w:t>DOCUMENTACIÓN TÉCNICA Y ARQUITECTURA EMPRESARIAL</w:t>
      </w:r>
    </w:p>
    <w:p>
      <w:pPr>
        <w:spacing w:after="480"/>
        <w:jc w:val="center"/>
      </w:pPr>
      <w:r>
        <w:rPr>
          <w:rFonts w:ascii="Arial" w:hAnsi="Arial"/>
          <w:b/>
          <w:color w:val="4F46E5"/>
          <w:sz w:val="26"/>
        </w:rPr>
        <w:t>Blueprint Exhaustivo de Ingeniería de Software, Ecosistema de Inteligencia Artificial, Mapeo Funcional de 30 Módulos y Estrategia de Migración Corporativa</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20"/>
              </w:rPr>
              <w:t>Plataforma:</w:t>
            </w:r>
          </w:p>
        </w:tc>
        <w:tc>
          <w:tcPr>
            <w:tcW w:type="dxa" w:w="4680"/>
            <w:shd w:fill="F8FAFC"/>
            <w:tcMar>
              <w:top w:w="60" w:type="dxa"/>
              <w:bottom w:w="60" w:type="dxa"/>
              <w:left w:w="100" w:type="dxa"/>
              <w:right w:w="100" w:type="dxa"/>
            </w:tcMar>
          </w:tcPr>
          <w:p>
            <w:r>
              <w:rPr>
                <w:sz w:val="20"/>
              </w:rPr>
              <w:t>LUXO AI SYSTEM - Enterprise Retail Intelligence Suite</w:t>
            </w:r>
          </w:p>
        </w:tc>
      </w:tr>
      <w:tr>
        <w:tc>
          <w:tcPr>
            <w:tcW w:type="dxa" w:w="4680"/>
            <w:shd w:fill="F1F5F9"/>
            <w:tcMar>
              <w:top w:w="60" w:type="dxa"/>
              <w:bottom w:w="60" w:type="dxa"/>
              <w:left w:w="100" w:type="dxa"/>
              <w:right w:w="100" w:type="dxa"/>
            </w:tcMar>
          </w:tcPr>
          <w:p>
            <w:r>
              <w:rPr>
                <w:b/>
                <w:sz w:val="20"/>
              </w:rPr>
              <w:t>Versión del Sistema:</w:t>
            </w:r>
          </w:p>
        </w:tc>
        <w:tc>
          <w:tcPr>
            <w:tcW w:type="dxa" w:w="4680"/>
            <w:shd w:fill="F8FAFC"/>
            <w:tcMar>
              <w:top w:w="60" w:type="dxa"/>
              <w:bottom w:w="60" w:type="dxa"/>
              <w:left w:w="100" w:type="dxa"/>
              <w:right w:w="100" w:type="dxa"/>
            </w:tcMar>
          </w:tcPr>
          <w:p>
            <w:r>
              <w:rPr>
                <w:sz w:val="20"/>
              </w:rPr>
              <w:t>v7.7 Release Enterprise</w:t>
            </w:r>
          </w:p>
        </w:tc>
      </w:tr>
      <w:tr>
        <w:tc>
          <w:tcPr>
            <w:tcW w:type="dxa" w:w="4680"/>
            <w:shd w:fill="F1F5F9"/>
            <w:tcMar>
              <w:top w:w="60" w:type="dxa"/>
              <w:bottom w:w="60" w:type="dxa"/>
              <w:left w:w="100" w:type="dxa"/>
              <w:right w:w="100" w:type="dxa"/>
            </w:tcMar>
          </w:tcPr>
          <w:p>
            <w:r>
              <w:rPr>
                <w:b/>
                <w:sz w:val="20"/>
              </w:rPr>
              <w:t>Organización / Target:</w:t>
            </w:r>
          </w:p>
        </w:tc>
        <w:tc>
          <w:tcPr>
            <w:tcW w:type="dxa" w:w="4680"/>
            <w:shd w:fill="F8FAFC"/>
            <w:tcMar>
              <w:top w:w="60" w:type="dxa"/>
              <w:bottom w:w="60" w:type="dxa"/>
              <w:left w:w="100" w:type="dxa"/>
              <w:right w:w="100" w:type="dxa"/>
            </w:tcMar>
          </w:tcPr>
          <w:p>
            <w:r>
              <w:rPr>
                <w:sz w:val="20"/>
              </w:rPr>
              <w:t>Sunglass Hut / EssilorLuxottica México &amp; LATAM</w:t>
            </w:r>
          </w:p>
        </w:tc>
      </w:tr>
      <w:tr>
        <w:tc>
          <w:tcPr>
            <w:tcW w:type="dxa" w:w="4680"/>
            <w:shd w:fill="F1F5F9"/>
            <w:tcMar>
              <w:top w:w="60" w:type="dxa"/>
              <w:bottom w:w="60" w:type="dxa"/>
              <w:left w:w="100" w:type="dxa"/>
              <w:right w:w="100" w:type="dxa"/>
            </w:tcMar>
          </w:tcPr>
          <w:p>
            <w:r>
              <w:rPr>
                <w:b/>
                <w:sz w:val="20"/>
              </w:rPr>
              <w:t>Clasificación del Documento:</w:t>
            </w:r>
          </w:p>
        </w:tc>
        <w:tc>
          <w:tcPr>
            <w:tcW w:type="dxa" w:w="4680"/>
            <w:shd w:fill="F8FAFC"/>
            <w:tcMar>
              <w:top w:w="60" w:type="dxa"/>
              <w:bottom w:w="60" w:type="dxa"/>
              <w:left w:w="100" w:type="dxa"/>
              <w:right w:w="100" w:type="dxa"/>
            </w:tcMar>
          </w:tcPr>
          <w:p>
            <w:r>
              <w:rPr>
                <w:sz w:val="20"/>
              </w:rPr>
              <w:t>Arquitectura de Software, Manual de Ingeniería y Blueprint Estratégico</w:t>
            </w:r>
          </w:p>
        </w:tc>
      </w:tr>
    </w:tbl>
    <w:p>
      <w:r>
        <w:br w:type="page"/>
      </w:r>
    </w:p>
    <w:p>
      <w:pPr>
        <w:keepNext/>
        <w:spacing w:before="440" w:after="160"/>
      </w:pPr>
      <w:r>
        <w:rPr>
          <w:rFonts w:ascii="Arial" w:hAnsi="Arial"/>
          <w:b/>
          <w:color w:val="1E3A8A"/>
          <w:sz w:val="36"/>
        </w:rPr>
        <w:t>ÍNDICE GENERAL Y ESTRUCTURA DEL DOCUMENTO</w:t>
      </w:r>
    </w:p>
    <w:p>
      <w:pPr>
        <w:pStyle w:val="ListBullet"/>
        <w:spacing w:after="80" w:line="276" w:lineRule="auto"/>
      </w:pPr>
      <w:r>
        <w:rPr>
          <w:rFonts w:ascii="Calibri" w:hAnsi="Calibri"/>
          <w:color w:val="1E293B"/>
          <w:sz w:val="22"/>
        </w:rPr>
        <w:t>Capítulo 1: Visión Estratégica, ROI y Propuesta de Valor Empresarial</w:t>
      </w:r>
    </w:p>
    <w:p>
      <w:pPr>
        <w:pStyle w:val="ListBullet"/>
        <w:spacing w:after="80" w:line="276" w:lineRule="auto"/>
      </w:pPr>
      <w:r>
        <w:rPr>
          <w:rFonts w:ascii="Calibri" w:hAnsi="Calibri"/>
          <w:color w:val="1E293B"/>
          <w:sz w:val="22"/>
        </w:rPr>
        <w:t>Capítulo 2: Arquitectura de Software y Topología de Red Segura</w:t>
      </w:r>
    </w:p>
    <w:p>
      <w:pPr>
        <w:pStyle w:val="ListBullet"/>
        <w:spacing w:after="80" w:line="276" w:lineRule="auto"/>
      </w:pPr>
      <w:r>
        <w:rPr>
          <w:rFonts w:ascii="Calibri" w:hAnsi="Calibri"/>
          <w:color w:val="1E293B"/>
          <w:sz w:val="22"/>
        </w:rPr>
        <w:t>Capítulo 3: Ecosistema de Inteligencia Artificial y APIs Actuales</w:t>
      </w:r>
    </w:p>
    <w:p>
      <w:pPr>
        <w:pStyle w:val="ListBullet"/>
        <w:spacing w:after="80" w:line="276" w:lineRule="auto"/>
      </w:pPr>
      <w:r>
        <w:rPr>
          <w:rFonts w:ascii="Calibri" w:hAnsi="Calibri"/>
          <w:color w:val="1E293B"/>
          <w:sz w:val="22"/>
        </w:rPr>
        <w:t>Capítulo 4: Modelo de Datos, Persistencia Híbrida y Diccionario de Tablas</w:t>
      </w:r>
    </w:p>
    <w:p>
      <w:pPr>
        <w:pStyle w:val="ListBullet"/>
        <w:spacing w:after="80" w:line="276" w:lineRule="auto"/>
      </w:pPr>
      <w:r>
        <w:rPr>
          <w:rFonts w:ascii="Calibri" w:hAnsi="Calibri"/>
          <w:color w:val="1E293B"/>
          <w:sz w:val="22"/>
        </w:rPr>
        <w:t>Capítulo 5: Mapeo y Análisis Exhaustivo de los 30 Módulos y Pestañas de LUXO</w:t>
      </w:r>
    </w:p>
    <w:p>
      <w:pPr>
        <w:pStyle w:val="ListBullet"/>
        <w:spacing w:after="80" w:line="276" w:lineRule="auto"/>
      </w:pPr>
      <w:r>
        <w:rPr>
          <w:rFonts w:ascii="Calibri" w:hAnsi="Calibri"/>
          <w:color w:val="1E293B"/>
          <w:sz w:val="22"/>
        </w:rPr>
        <w:t>Capítulo 6: Retos de Ingeniería Superados y Soluciones Técnicas</w:t>
      </w:r>
    </w:p>
    <w:p>
      <w:pPr>
        <w:pStyle w:val="ListBullet"/>
        <w:spacing w:after="80" w:line="276" w:lineRule="auto"/>
      </w:pPr>
      <w:r>
        <w:rPr>
          <w:rFonts w:ascii="Calibri" w:hAnsi="Calibri"/>
          <w:color w:val="1E293B"/>
          <w:sz w:val="22"/>
        </w:rPr>
        <w:t>Capítulo 7: Estrategia de Migración Cloud y Escalabilidad Masiva</w:t>
      </w:r>
    </w:p>
    <w:p>
      <w:pPr>
        <w:pStyle w:val="ListBullet"/>
        <w:spacing w:after="80" w:line="276" w:lineRule="auto"/>
      </w:pPr>
      <w:r>
        <w:rPr>
          <w:rFonts w:ascii="Calibri" w:hAnsi="Calibri"/>
          <w:color w:val="1E293B"/>
          <w:sz w:val="22"/>
        </w:rPr>
        <w:t>Capítulo 8: Roadmap de Innovación: Integración Multimodal con Google Gemini</w:t>
      </w:r>
    </w:p>
    <w:p>
      <w:pPr>
        <w:pStyle w:val="ListBullet"/>
        <w:spacing w:after="80" w:line="276" w:lineRule="auto"/>
      </w:pPr>
      <w:r>
        <w:rPr>
          <w:rFonts w:ascii="Calibri" w:hAnsi="Calibri"/>
          <w:color w:val="1E293B"/>
          <w:sz w:val="22"/>
        </w:rPr>
        <w:t>Capítulo 9: Seguridad, Compliance Regulatorio y Respaldo ante Desastres</w:t>
      </w:r>
    </w:p>
    <w:p>
      <w:r>
        <w:br w:type="page"/>
      </w:r>
    </w:p>
    <w:p>
      <w:pPr>
        <w:keepNext/>
        <w:spacing w:before="440" w:after="160"/>
      </w:pPr>
      <w:r>
        <w:rPr>
          <w:rFonts w:ascii="Arial" w:hAnsi="Arial"/>
          <w:b/>
          <w:color w:val="1E3A8A"/>
          <w:sz w:val="36"/>
        </w:rPr>
        <w:t>CAPÍTULO 1: VISIÓN ESTRATÉGICA, ROI Y PROPUESTA DE VALOR EMPRESARIAL</w:t>
      </w:r>
    </w:p>
    <w:p>
      <w:pPr>
        <w:keepNext/>
        <w:spacing w:before="320" w:after="120"/>
      </w:pPr>
      <w:r>
        <w:rPr>
          <w:rFonts w:ascii="Arial" w:hAnsi="Arial"/>
          <w:b/>
          <w:color w:val="4338CA"/>
          <w:sz w:val="28"/>
        </w:rPr>
        <w:t>1.1 Justificación del Negocio en Retail de Lujo (Sunglass Hut / Luxottica)</w:t>
      </w:r>
    </w:p>
    <w:p>
      <w:pPr>
        <w:spacing w:after="120" w:line="276" w:lineRule="auto"/>
      </w:pPr>
      <w:r>
        <w:rPr>
          <w:rFonts w:ascii="Calibri" w:hAnsi="Calibri"/>
          <w:color w:val="1E293B"/>
          <w:sz w:val="22"/>
        </w:rPr>
        <w:t>El retail moderno de alta gama exige precisión quirúrgica en tres pilares fundamentales: la experiencia de servicio al cliente, la integridad del control financiero en caja y la ejecución impecable de las rutinas de tienda. Tradicionalmente, la operación en sucursales enfrenta graves fricciones: manuales de políticas extensos y difíciles de consultar durante una venta, inconsistencias y demoras en el envío de cortes diarios de caja, falta de visibilidad en tiempo real sobre aperturas de tienda y pérdida de clientes por falta de seguimiento postventa.</w:t>
      </w:r>
    </w:p>
    <w:p>
      <w:pPr>
        <w:spacing w:after="120" w:line="276" w:lineRule="auto"/>
      </w:pPr>
      <w:r>
        <w:rPr>
          <w:rFonts w:ascii="Calibri" w:hAnsi="Calibri"/>
          <w:color w:val="1E293B"/>
          <w:sz w:val="22"/>
        </w:rPr>
        <w:t>LUXO AI SYSTEM v7.7 fue concebido y desarrollado para transformar radicalmente este panorama, unificando en una sola suite interactiva: inteligencia artificial generativa entrenada con manuales oficiales, auditoría digital automatizada con procesamiento de imágenes (DiSA), simulación de ventas por voz para entrenamiento continuo y tableros gerenciales en tiempo real.</w:t>
      </w:r>
    </w:p>
    <w:p>
      <w:pPr>
        <w:keepNext/>
        <w:spacing w:before="320" w:after="120"/>
      </w:pPr>
      <w:r>
        <w:rPr>
          <w:rFonts w:ascii="Arial" w:hAnsi="Arial"/>
          <w:b/>
          <w:color w:val="4338CA"/>
          <w:sz w:val="28"/>
        </w:rPr>
        <w:t>1.2 Problemáticas Operativas Resueltas y Retorno de Inversión (ROI)</w:t>
      </w:r>
    </w:p>
    <w:p>
      <w:pPr>
        <w:pStyle w:val="ListBullet"/>
        <w:spacing w:after="80" w:line="276" w:lineRule="auto"/>
      </w:pPr>
      <w:r>
        <w:rPr>
          <w:rFonts w:ascii="Calibri" w:hAnsi="Calibri"/>
          <w:b/>
          <w:color w:val="0F172A"/>
          <w:sz w:val="22"/>
        </w:rPr>
        <w:t>Fugas Financieras y Descuadres de Caja:</w:t>
      </w:r>
      <w:r>
        <w:rPr>
          <w:rFonts w:ascii="Calibri" w:hAnsi="Calibri"/>
          <w:color w:val="1E293B"/>
          <w:sz w:val="22"/>
        </w:rPr>
        <w:t xml:space="preserve"> Automatización de la captura de comprobantes (Corte Z, vouchers de terminal, fichas Panamericano y tickets sellados), eliminando pérdidas por extravío y reduciendo los tiempos de auditoría en más de un 90%.</w:t>
      </w:r>
    </w:p>
    <w:p>
      <w:pPr>
        <w:pStyle w:val="ListBullet"/>
        <w:spacing w:after="80" w:line="276" w:lineRule="auto"/>
      </w:pPr>
      <w:r>
        <w:rPr>
          <w:rFonts w:ascii="Calibri" w:hAnsi="Calibri"/>
          <w:b/>
          <w:color w:val="0F172A"/>
          <w:sz w:val="22"/>
        </w:rPr>
        <w:t>Fricción en Consulta de Políticas y Manuales:</w:t>
      </w:r>
      <w:r>
        <w:rPr>
          <w:rFonts w:ascii="Calibri" w:hAnsi="Calibri"/>
          <w:color w:val="1E293B"/>
          <w:sz w:val="22"/>
        </w:rPr>
        <w:t xml:space="preserve"> Acceso instantáneo a políticas de garantía por país, sustitución de micas y compatibilidades mediante el Asistente Virtual LUXO AI en menos de 2 segundos, reduciendo a cero los errores operativos de aplicación de garantías indebidas.</w:t>
      </w:r>
    </w:p>
    <w:p>
      <w:pPr>
        <w:pStyle w:val="ListBullet"/>
        <w:spacing w:after="80" w:line="276" w:lineRule="auto"/>
      </w:pPr>
      <w:r>
        <w:rPr>
          <w:rFonts w:ascii="Calibri" w:hAnsi="Calibri"/>
          <w:b/>
          <w:color w:val="0F172A"/>
          <w:sz w:val="22"/>
        </w:rPr>
        <w:t>Falta de Visibilidad en Rutinas de Sucursal:</w:t>
      </w:r>
      <w:r>
        <w:rPr>
          <w:rFonts w:ascii="Calibri" w:hAnsi="Calibri"/>
          <w:color w:val="1E293B"/>
          <w:sz w:val="22"/>
        </w:rPr>
        <w:t xml:space="preserve"> Monitoreo nacional con semáforo inteligente de aperturas, cierres y checklists de imagen, garantizando que el 100% de las tiendas operen bajo los estándares de la marca.</w:t>
      </w:r>
    </w:p>
    <w:p>
      <w:pPr>
        <w:pStyle w:val="ListBullet"/>
        <w:spacing w:after="80" w:line="276" w:lineRule="auto"/>
      </w:pPr>
      <w:r>
        <w:rPr>
          <w:rFonts w:ascii="Calibri" w:hAnsi="Calibri"/>
          <w:b/>
          <w:color w:val="0F172A"/>
          <w:sz w:val="22"/>
        </w:rPr>
        <w:t>Pérdida de Recompra Postventa:</w:t>
      </w:r>
      <w:r>
        <w:rPr>
          <w:rFonts w:ascii="Calibri" w:hAnsi="Calibri"/>
          <w:color w:val="1E293B"/>
          <w:sz w:val="22"/>
        </w:rPr>
        <w:t xml:space="preserve"> Notificaciones automatizadas al Mes 11 de compra para invitar a los clientes a servicio preventivo antes del vencimiento de garantía, impulsando la tasa de recompra y fidelización.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Pr>
          <w:p>
            <w:r>
              <w:rPr>
                <w:rFonts w:ascii="Calibri" w:hAnsi="Calibri"/>
                <w:b/>
                <w:color w:val="166534"/>
                <w:sz w:val="22"/>
              </w:rPr>
              <w:t>📊 ANÁLISIS DE RETORNO DE INVERSIÓN (ROI)</w:t>
              <w:br/>
            </w:r>
            <w:r>
              <w:rPr>
                <w:rFonts w:ascii="Calibri" w:hAnsi="Calibri"/>
                <w:color w:val="14532D"/>
                <w:sz w:val="21"/>
              </w:rPr>
              <w:t>Métricas de Impacto Económico:</w:t>
              <w:br/>
              <w:t>• Reducción del 95% en discrepancias de auditoría contable.</w:t>
              <w:br/>
              <w:t>• Ahorro de más de 45 minutos diarios por tienda en labores administrativas y cierres.</w:t>
              <w:br/>
              <w:t>• Incremento estimado de 12% a 18% en Ticket Promedio (ATV) y Piezas por Transacción (UPT) gracias al Enfoque Diario y Simulador de Ventas.</w:t>
              <w:br/>
              <w:t>• Disponibilidad operativa del 99.9% gracias a la arquitectura tolerante a fallos y fallback local.</w:t>
            </w:r>
          </w:p>
        </w:tc>
      </w:tr>
    </w:tbl>
    <w:p>
      <w:pPr>
        <w:spacing w:after="120"/>
      </w:pPr>
    </w:p>
    <w:p>
      <w:pPr>
        <w:keepNext/>
        <w:spacing w:before="440" w:after="160"/>
      </w:pPr>
      <w:r>
        <w:rPr>
          <w:rFonts w:ascii="Arial" w:hAnsi="Arial"/>
          <w:b/>
          <w:color w:val="1E3A8A"/>
          <w:sz w:val="36"/>
        </w:rPr>
        <w:t>CAPÍTULO 2: ARQUITECTURA DE SOFTWARE Y TOPOLOGÍA DE RED SEGURA</w:t>
      </w:r>
    </w:p>
    <w:p>
      <w:pPr>
        <w:keepNext/>
        <w:spacing w:before="320" w:after="120"/>
      </w:pPr>
      <w:r>
        <w:rPr>
          <w:rFonts w:ascii="Arial" w:hAnsi="Arial"/>
          <w:b/>
          <w:color w:val="4338CA"/>
          <w:sz w:val="28"/>
        </w:rPr>
        <w:t>2.1 Diagrama Arquitectónico en Capas</w:t>
      </w:r>
    </w:p>
    <w:p>
      <w:pPr>
        <w:spacing w:after="120" w:line="276" w:lineRule="auto"/>
      </w:pPr>
      <w:r>
        <w:rPr>
          <w:rFonts w:ascii="Calibri" w:hAnsi="Calibri"/>
          <w:color w:val="1E293B"/>
          <w:sz w:val="22"/>
        </w:rPr>
        <w:t>El sistema está estructurado bajo una arquitectura desacoplada y modular en 5 capas: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20"/>
              </w:rPr>
              <w:t>Capa</w:t>
            </w:r>
          </w:p>
        </w:tc>
        <w:tc>
          <w:tcPr>
            <w:tcW w:type="dxa" w:w="3120"/>
            <w:shd w:fill="1E293B"/>
          </w:tcPr>
          <w:p>
            <w:r>
              <w:rPr>
                <w:b/>
                <w:color w:val="FFFFFF"/>
                <w:sz w:val="20"/>
              </w:rPr>
              <w:t>Tecnología Base</w:t>
            </w:r>
          </w:p>
        </w:tc>
        <w:tc>
          <w:tcPr>
            <w:tcW w:type="dxa" w:w="3120"/>
            <w:shd w:fill="1E293B"/>
          </w:tcPr>
          <w:p>
            <w:r>
              <w:rPr>
                <w:b/>
                <w:color w:val="FFFFFF"/>
                <w:sz w:val="20"/>
              </w:rPr>
              <w:t>Responsabilidad Arquitectónica</w:t>
            </w:r>
          </w:p>
        </w:tc>
      </w:tr>
      <w:tr>
        <w:tc>
          <w:tcPr>
            <w:tcW w:type="dxa" w:w="3120"/>
            <w:tcMar>
              <w:top w:w="60" w:type="dxa"/>
              <w:bottom w:w="60" w:type="dxa"/>
              <w:left w:w="80" w:type="dxa"/>
              <w:right w:w="80" w:type="dxa"/>
            </w:tcMar>
          </w:tcPr>
          <w:p>
            <w:r>
              <w:rPr>
                <w:sz w:val="19"/>
              </w:rPr>
              <w:t>1. Capa de Presentación (Frontend)</w:t>
            </w:r>
          </w:p>
        </w:tc>
        <w:tc>
          <w:tcPr>
            <w:tcW w:type="dxa" w:w="3120"/>
            <w:tcMar>
              <w:top w:w="60" w:type="dxa"/>
              <w:bottom w:w="60" w:type="dxa"/>
              <w:left w:w="80" w:type="dxa"/>
              <w:right w:w="80" w:type="dxa"/>
            </w:tcMar>
          </w:tcPr>
          <w:p>
            <w:r>
              <w:rPr>
                <w:sz w:val="19"/>
              </w:rPr>
              <w:t>Flet Framework (Google Flutter Engine)</w:t>
            </w:r>
          </w:p>
        </w:tc>
        <w:tc>
          <w:tcPr>
            <w:tcW w:type="dxa" w:w="3120"/>
            <w:tcMar>
              <w:top w:w="60" w:type="dxa"/>
              <w:bottom w:w="60" w:type="dxa"/>
              <w:left w:w="80" w:type="dxa"/>
              <w:right w:w="80" w:type="dxa"/>
            </w:tcMar>
          </w:tcPr>
          <w:p>
            <w:r>
              <w:rPr>
                <w:sz w:val="19"/>
              </w:rPr>
              <w:t>Renderizado responsivo para Web Desktop, Tablets y Smartphones. Tema Cyberpunk Neon Dark.</w:t>
            </w:r>
          </w:p>
        </w:tc>
      </w:tr>
      <w:tr>
        <w:tc>
          <w:tcPr>
            <w:tcW w:type="dxa" w:w="3120"/>
            <w:tcMar>
              <w:top w:w="60" w:type="dxa"/>
              <w:bottom w:w="60" w:type="dxa"/>
              <w:left w:w="80" w:type="dxa"/>
              <w:right w:w="80" w:type="dxa"/>
            </w:tcMar>
          </w:tcPr>
          <w:p>
            <w:r>
              <w:rPr>
                <w:sz w:val="19"/>
              </w:rPr>
              <w:t>2. Capa de Servicios Web (Backend API)</w:t>
            </w:r>
          </w:p>
        </w:tc>
        <w:tc>
          <w:tcPr>
            <w:tcW w:type="dxa" w:w="3120"/>
            <w:tcMar>
              <w:top w:w="60" w:type="dxa"/>
              <w:bottom w:w="60" w:type="dxa"/>
              <w:left w:w="80" w:type="dxa"/>
              <w:right w:w="80" w:type="dxa"/>
            </w:tcMar>
          </w:tcPr>
          <w:p>
            <w:r>
              <w:rPr>
                <w:sz w:val="19"/>
              </w:rPr>
              <w:t>FastAPI / Starlette / Uvicorn ASGI Server</w:t>
            </w:r>
          </w:p>
        </w:tc>
        <w:tc>
          <w:tcPr>
            <w:tcW w:type="dxa" w:w="3120"/>
            <w:tcMar>
              <w:top w:w="60" w:type="dxa"/>
              <w:bottom w:w="60" w:type="dxa"/>
              <w:left w:w="80" w:type="dxa"/>
              <w:right w:w="80" w:type="dxa"/>
            </w:tcMar>
          </w:tcPr>
          <w:p>
            <w:r>
              <w:rPr>
                <w:sz w:val="19"/>
              </w:rPr>
              <w:t>Enrutamiento RESTful, WebSockets, streaming de audio, inyección de middleware y manejo de concurrencia.</w:t>
            </w:r>
          </w:p>
        </w:tc>
      </w:tr>
      <w:tr>
        <w:tc>
          <w:tcPr>
            <w:tcW w:type="dxa" w:w="3120"/>
            <w:tcMar>
              <w:top w:w="60" w:type="dxa"/>
              <w:bottom w:w="60" w:type="dxa"/>
              <w:left w:w="80" w:type="dxa"/>
              <w:right w:w="80" w:type="dxa"/>
            </w:tcMar>
          </w:tcPr>
          <w:p>
            <w:r>
              <w:rPr>
                <w:sz w:val="19"/>
              </w:rPr>
              <w:t>3. Capa de Inteligencia Artificial</w:t>
            </w:r>
          </w:p>
        </w:tc>
        <w:tc>
          <w:tcPr>
            <w:tcW w:type="dxa" w:w="3120"/>
            <w:tcMar>
              <w:top w:w="60" w:type="dxa"/>
              <w:bottom w:w="60" w:type="dxa"/>
              <w:left w:w="80" w:type="dxa"/>
              <w:right w:w="80" w:type="dxa"/>
            </w:tcMar>
          </w:tcPr>
          <w:p>
            <w:r>
              <w:rPr>
                <w:sz w:val="19"/>
              </w:rPr>
              <w:t>Groq LPU (Llama-3.3-70B) + RAG Engine</w:t>
            </w:r>
          </w:p>
        </w:tc>
        <w:tc>
          <w:tcPr>
            <w:tcW w:type="dxa" w:w="3120"/>
            <w:tcMar>
              <w:top w:w="60" w:type="dxa"/>
              <w:bottom w:w="60" w:type="dxa"/>
              <w:left w:w="80" w:type="dxa"/>
              <w:right w:w="80" w:type="dxa"/>
            </w:tcMar>
          </w:tcPr>
          <w:p>
            <w:r>
              <w:rPr>
                <w:sz w:val="19"/>
              </w:rPr>
              <w:t>Procesamiento de lenguaje natural, inferencia a ultra-alta velocidad y búsqueda semántica en manuales.</w:t>
            </w:r>
          </w:p>
        </w:tc>
      </w:tr>
      <w:tr>
        <w:tc>
          <w:tcPr>
            <w:tcW w:type="dxa" w:w="3120"/>
            <w:tcMar>
              <w:top w:w="60" w:type="dxa"/>
              <w:bottom w:w="60" w:type="dxa"/>
              <w:left w:w="80" w:type="dxa"/>
              <w:right w:w="80" w:type="dxa"/>
            </w:tcMar>
          </w:tcPr>
          <w:p>
            <w:r>
              <w:rPr>
                <w:sz w:val="19"/>
              </w:rPr>
              <w:t>4. Capa de Visión y Audio</w:t>
            </w:r>
          </w:p>
        </w:tc>
        <w:tc>
          <w:tcPr>
            <w:tcW w:type="dxa" w:w="3120"/>
            <w:tcMar>
              <w:top w:w="60" w:type="dxa"/>
              <w:bottom w:w="60" w:type="dxa"/>
              <w:left w:w="80" w:type="dxa"/>
              <w:right w:w="80" w:type="dxa"/>
            </w:tcMar>
          </w:tcPr>
          <w:p>
            <w:r>
              <w:rPr>
                <w:sz w:val="19"/>
              </w:rPr>
              <w:t>OpenCV + Edge-TTS + Windows SAPI + PyAudio</w:t>
            </w:r>
          </w:p>
        </w:tc>
        <w:tc>
          <w:tcPr>
            <w:tcW w:type="dxa" w:w="3120"/>
            <w:tcMar>
              <w:top w:w="60" w:type="dxa"/>
              <w:bottom w:w="60" w:type="dxa"/>
              <w:left w:w="80" w:type="dxa"/>
              <w:right w:w="80" w:type="dxa"/>
            </w:tcMar>
          </w:tcPr>
          <w:p>
            <w:r>
              <w:rPr>
                <w:sz w:val="19"/>
              </w:rPr>
              <w:t>Recorte de perspectiva 4-puntos, análisis óptico, síntesis de voz neural y reconocimiento manos libres.</w:t>
            </w:r>
          </w:p>
        </w:tc>
      </w:tr>
      <w:tr>
        <w:tc>
          <w:tcPr>
            <w:tcW w:type="dxa" w:w="3120"/>
            <w:tcMar>
              <w:top w:w="60" w:type="dxa"/>
              <w:bottom w:w="60" w:type="dxa"/>
              <w:left w:w="80" w:type="dxa"/>
              <w:right w:w="80" w:type="dxa"/>
            </w:tcMar>
          </w:tcPr>
          <w:p>
            <w:r>
              <w:rPr>
                <w:sz w:val="19"/>
              </w:rPr>
              <w:t>5. Capa de Persistencia Híbrida</w:t>
            </w:r>
          </w:p>
        </w:tc>
        <w:tc>
          <w:tcPr>
            <w:tcW w:type="dxa" w:w="3120"/>
            <w:tcMar>
              <w:top w:w="60" w:type="dxa"/>
              <w:bottom w:w="60" w:type="dxa"/>
              <w:left w:w="80" w:type="dxa"/>
              <w:right w:w="80" w:type="dxa"/>
            </w:tcMar>
          </w:tcPr>
          <w:p>
            <w:r>
              <w:rPr>
                <w:sz w:val="19"/>
              </w:rPr>
              <w:t>MySQL 8.0 Relacional + JSON Storage</w:t>
            </w:r>
          </w:p>
        </w:tc>
        <w:tc>
          <w:tcPr>
            <w:tcW w:type="dxa" w:w="3120"/>
            <w:tcMar>
              <w:top w:w="60" w:type="dxa"/>
              <w:bottom w:w="60" w:type="dxa"/>
              <w:left w:w="80" w:type="dxa"/>
              <w:right w:w="80" w:type="dxa"/>
            </w:tcMar>
          </w:tcPr>
          <w:p>
            <w:r>
              <w:rPr>
                <w:sz w:val="19"/>
              </w:rPr>
              <w:t>Gestión transaccional corporativa combinada con buffers locales ultrarrápidos tolerantes a desconexión.</w:t>
            </w:r>
          </w:p>
        </w:tc>
      </w:tr>
    </w:tbl>
    <w:p>
      <w:pPr>
        <w:keepNext/>
        <w:spacing w:before="320" w:after="120"/>
      </w:pPr>
      <w:r>
        <w:rPr>
          <w:rFonts w:ascii="Arial" w:hAnsi="Arial"/>
          <w:b/>
          <w:color w:val="4338CA"/>
          <w:sz w:val="28"/>
        </w:rPr>
        <w:t>2.2 Topología de Red y Conectividad Híbrida</w:t>
      </w:r>
    </w:p>
    <w:p>
      <w:pPr>
        <w:spacing w:after="120" w:line="276" w:lineRule="auto"/>
      </w:pPr>
      <w:r>
        <w:rPr>
          <w:rFonts w:ascii="Calibri" w:hAnsi="Calibri"/>
          <w:color w:val="1E293B"/>
          <w:sz w:val="22"/>
        </w:rPr>
        <w:t>Para conectar más de 150 tiendas en todo el país sin requerir infraestructura costosa de VPNs dedicadas ni abrir puertos vulnerables en los routers locales de las plazas comerciales, LUXO implementa Cloudflare Zero Trust Tunnels (cloudflared.exe).</w:t>
      </w:r>
    </w:p>
    <w:p>
      <w:pPr>
        <w:spacing w:after="120" w:line="276" w:lineRule="auto"/>
      </w:pPr>
      <w:r>
        <w:rPr>
          <w:rFonts w:ascii="Calibri" w:hAnsi="Calibri"/>
          <w:color w:val="1E293B"/>
          <w:sz w:val="22"/>
        </w:rPr>
        <w:t>El tráfico viaja cifrado de extremo a extremo mediante túneles gRPC/QUIC hacia la red perimetral de Cloudflare, otorgando certificados SSL automáticos, mitigación contra ataques DDoS y balanceo de carga global con fallback secundario a Ngrok.</w:t>
      </w:r>
    </w:p>
    <w:p>
      <w:pPr>
        <w:keepNext/>
        <w:spacing w:before="320" w:after="120"/>
      </w:pPr>
      <w:r>
        <w:rPr>
          <w:rFonts w:ascii="Arial" w:hAnsi="Arial"/>
          <w:b/>
          <w:color w:val="4338CA"/>
          <w:sz w:val="28"/>
        </w:rPr>
        <w:t>2.3 Modelo de Concurrencia y Aislamiento de Hilos</w:t>
      </w:r>
    </w:p>
    <w:p>
      <w:pPr>
        <w:spacing w:after="120" w:line="276" w:lineRule="auto"/>
      </w:pPr>
      <w:r>
        <w:rPr>
          <w:rFonts w:ascii="Calibri" w:hAnsi="Calibri"/>
          <w:color w:val="1E293B"/>
          <w:sz w:val="22"/>
        </w:rPr>
        <w:t>Uno de los mayores desafíos en aplicaciones ricas en multimedia es evitar que operaciones pesadas (como el procesamiento óptico de OpenCV o llamadas a APIs externas) congelen la interfaz de usuario. LUXO implementa:</w:t>
      </w:r>
    </w:p>
    <w:p>
      <w:pPr>
        <w:pStyle w:val="ListBullet"/>
        <w:spacing w:after="80" w:line="276" w:lineRule="auto"/>
      </w:pPr>
      <w:r>
        <w:rPr>
          <w:rFonts w:ascii="Calibri" w:hAnsi="Calibri"/>
          <w:b/>
          <w:color w:val="0F172A"/>
          <w:sz w:val="22"/>
        </w:rPr>
        <w:t>Asincronía Nativa en FastAPI (async/await):</w:t>
      </w:r>
      <w:r>
        <w:rPr>
          <w:rFonts w:ascii="Calibri" w:hAnsi="Calibri"/>
          <w:color w:val="1E293B"/>
          <w:sz w:val="22"/>
        </w:rPr>
        <w:t xml:space="preserve"> Permite que miles de peticiones de audio, validación y sincronización ocurran en microsegundos sin bloquear el servidor.</w:t>
      </w:r>
    </w:p>
    <w:p>
      <w:pPr>
        <w:pStyle w:val="ListBullet"/>
        <w:spacing w:after="80" w:line="276" w:lineRule="auto"/>
      </w:pPr>
      <w:r>
        <w:rPr>
          <w:rFonts w:ascii="Calibri" w:hAnsi="Calibri"/>
          <w:b/>
          <w:color w:val="0F172A"/>
          <w:sz w:val="22"/>
        </w:rPr>
        <w:t>Hilos de Voz Aislados:</w:t>
      </w:r>
      <w:r>
        <w:rPr>
          <w:rFonts w:ascii="Calibri" w:hAnsi="Calibri"/>
          <w:color w:val="1E293B"/>
          <w:sz w:val="22"/>
        </w:rPr>
        <w:t xml:space="preserve"> Cada petición de síntesis local o escucha continua corre en un thread independiente con pythoncom.CoInitialize() para cumplir las restricciones de concurrencia de Windows Component Object Model (COM).</w:t>
      </w:r>
    </w:p>
    <w:p>
      <w:pPr>
        <w:pStyle w:val="ListBullet"/>
        <w:spacing w:after="80" w:line="276" w:lineRule="auto"/>
      </w:pPr>
      <w:r>
        <w:rPr>
          <w:rFonts w:ascii="Calibri" w:hAnsi="Calibri"/>
          <w:b/>
          <w:color w:val="0F172A"/>
          <w:sz w:val="22"/>
        </w:rPr>
        <w:t>Background Task Worker:</w:t>
      </w:r>
      <w:r>
        <w:rPr>
          <w:rFonts w:ascii="Calibri" w:hAnsi="Calibri"/>
          <w:color w:val="1E293B"/>
          <w:sz w:val="22"/>
        </w:rPr>
        <w:t xml:space="preserve"> El procesamiento de imágenes se ejecuta en el pool de background tasks liberando la respuesta visual instantáneamente.</w:t>
      </w:r>
    </w:p>
    <w:p>
      <w:pPr>
        <w:keepNext/>
        <w:spacing w:before="440" w:after="160"/>
      </w:pPr>
      <w:r>
        <w:rPr>
          <w:rFonts w:ascii="Arial" w:hAnsi="Arial"/>
          <w:b/>
          <w:color w:val="1E3A8A"/>
          <w:sz w:val="36"/>
        </w:rPr>
        <w:t>CAPÍTULO 3: ECOSISTEMA DE INTELIGENCIA ARTIFICIAL Y APIS ACTUALES</w:t>
      </w:r>
    </w:p>
    <w:p>
      <w:pPr>
        <w:keepNext/>
        <w:spacing w:before="320" w:after="120"/>
      </w:pPr>
      <w:r>
        <w:rPr>
          <w:rFonts w:ascii="Arial" w:hAnsi="Arial"/>
          <w:b/>
          <w:color w:val="4338CA"/>
          <w:sz w:val="28"/>
        </w:rPr>
        <w:t>3.1 Motor LLM Principal: Groq Cloud LPU (Llama 3.3 70B Versatile)</w:t>
      </w:r>
    </w:p>
    <w:p>
      <w:pPr>
        <w:spacing w:after="120" w:line="276" w:lineRule="auto"/>
      </w:pPr>
      <w:r>
        <w:rPr>
          <w:rFonts w:ascii="Calibri" w:hAnsi="Calibri"/>
          <w:color w:val="1E293B"/>
          <w:sz w:val="22"/>
        </w:rPr>
        <w:t>Para proporcionar respuestas operativas instantáneas, LUXO integra la infraestructura de Language Processing Units (LPUs) de Groq corriendo el modelo de última generación Llama-3.3-70b-versatile. Esta tecnología alcanza velocidades de inferencia superiores a 250 tokens por segundo, eliminando por completo los tiempos de espera para el usuario en caja.</w:t>
      </w:r>
    </w:p>
    <w:p>
      <w:pPr>
        <w:spacing w:after="120" w:line="276" w:lineRule="auto"/>
      </w:pPr>
      <w:r>
        <w:rPr>
          <w:rFonts w:ascii="Calibri" w:hAnsi="Calibri"/>
          <w:color w:val="1E293B"/>
          <w:sz w:val="22"/>
        </w:rPr>
        <w:t>Para garantizar alta disponibilidad corporativa, el sistema incorpora:</w:t>
      </w:r>
    </w:p>
    <w:p>
      <w:pPr>
        <w:pStyle w:val="ListBullet"/>
        <w:spacing w:after="80" w:line="276" w:lineRule="auto"/>
      </w:pPr>
      <w:r>
        <w:rPr>
          <w:rFonts w:ascii="Calibri" w:hAnsi="Calibri"/>
          <w:b/>
          <w:color w:val="0F172A"/>
          <w:sz w:val="22"/>
        </w:rPr>
        <w:t>Pool de Rotación Automática de Llaves:</w:t>
      </w:r>
      <w:r>
        <w:rPr>
          <w:rFonts w:ascii="Calibri" w:hAnsi="Calibri"/>
          <w:color w:val="1E293B"/>
          <w:sz w:val="22"/>
        </w:rPr>
        <w:t xml:space="preserve"> Funciones get_groq_key() y rotate_groq_key() que alternan entre un pool de credenciales maestras ante límites de cuota (HTTP 429).</w:t>
      </w:r>
    </w:p>
    <w:p>
      <w:pPr>
        <w:pStyle w:val="ListBullet"/>
        <w:spacing w:after="80" w:line="276" w:lineRule="auto"/>
      </w:pPr>
      <w:r>
        <w:rPr>
          <w:rFonts w:ascii="Calibri" w:hAnsi="Calibri"/>
          <w:b/>
          <w:color w:val="0F172A"/>
          <w:sz w:val="22"/>
        </w:rPr>
        <w:t>Motor Simulador Fallback Local:</w:t>
      </w:r>
      <w:r>
        <w:rPr>
          <w:rFonts w:ascii="Calibri" w:hAnsi="Calibri"/>
          <w:color w:val="1E293B"/>
          <w:sz w:val="22"/>
        </w:rPr>
        <w:t xml:space="preserve"> En caso de pérdida de enlace a internet, la función generar_respuesta_simulador_fallback() procesa la solicitud mediante un motor de heurística y reglas precompiladas, manteniendo la operatividad en piso.</w:t>
      </w:r>
    </w:p>
    <w:p>
      <w:pPr>
        <w:keepNext/>
        <w:spacing w:before="320" w:after="120"/>
      </w:pPr>
      <w:r>
        <w:rPr>
          <w:rFonts w:ascii="Arial" w:hAnsi="Arial"/>
          <w:b/>
          <w:color w:val="4338CA"/>
          <w:sz w:val="28"/>
        </w:rPr>
        <w:t>3.2 Motor de Búsqueda Semántica RAG (Retrieval-Augmented Generation)</w:t>
      </w:r>
    </w:p>
    <w:p>
      <w:pPr>
        <w:spacing w:after="120" w:line="276" w:lineRule="auto"/>
      </w:pPr>
      <w:r>
        <w:rPr>
          <w:rFonts w:ascii="Calibri" w:hAnsi="Calibri"/>
          <w:color w:val="1E293B"/>
          <w:sz w:val="22"/>
        </w:rPr>
        <w:t>El motor RAG procesa documentos PDF corporativos oficiales (Manual de Políticas de Garantía, Guía de Operación POS, Manuales de Marca Ray-Ban, Oakley, Persol, Oliver Peoples).</w:t>
      </w:r>
    </w:p>
    <w:p>
      <w:pPr>
        <w:spacing w:after="120" w:line="276" w:lineRule="auto"/>
      </w:pPr>
      <w:r>
        <w:rPr>
          <w:rFonts w:ascii="Calibri" w:hAnsi="Calibri"/>
          <w:color w:val="1E293B"/>
          <w:sz w:val="22"/>
        </w:rPr>
        <w:t>Al realizarse una consulta, el sistema indexa y busca por similitud coseno vectorial los fragmentos más relevantes, inyectándolos en el prompt del sistema para que el LLM fundamente su respuesta exclusivamente en las políticas vigentes de la empresa.</w:t>
      </w:r>
    </w:p>
    <w:p>
      <w:pPr>
        <w:keepNext/>
        <w:spacing w:before="320" w:after="120"/>
      </w:pPr>
      <w:r>
        <w:rPr>
          <w:rFonts w:ascii="Arial" w:hAnsi="Arial"/>
          <w:b/>
          <w:color w:val="4338CA"/>
          <w:sz w:val="28"/>
        </w:rPr>
        <w:t>3.3 Motor Óptico y Visión Computacional (OpenCV / Optics Engine)</w:t>
      </w:r>
    </w:p>
    <w:p>
      <w:pPr>
        <w:spacing w:after="120" w:line="276" w:lineRule="auto"/>
      </w:pPr>
      <w:r>
        <w:rPr>
          <w:rFonts w:ascii="Calibri" w:hAnsi="Calibri"/>
          <w:color w:val="1E293B"/>
          <w:sz w:val="22"/>
        </w:rPr>
        <w:t>El módulo disa_engine.py y optics_engine.py implementan visión computacional avanzada para resolver los retos de digitalización en tienda:</w:t>
      </w:r>
    </w:p>
    <w:p>
      <w:pPr>
        <w:pStyle w:val="ListBullet"/>
        <w:spacing w:after="80" w:line="276" w:lineRule="auto"/>
      </w:pPr>
      <w:r>
        <w:rPr>
          <w:rFonts w:ascii="Calibri" w:hAnsi="Calibri"/>
          <w:b/>
          <w:color w:val="0F172A"/>
          <w:sz w:val="22"/>
        </w:rPr>
        <w:t>Corrección de Perspectiva 4-Puntos:</w:t>
      </w:r>
      <w:r>
        <w:rPr>
          <w:rFonts w:ascii="Calibri" w:hAnsi="Calibri"/>
          <w:color w:val="1E293B"/>
          <w:sz w:val="22"/>
        </w:rPr>
        <w:t xml:space="preserve"> Transforma tomas fotográficas inclinadas en planos ortogonales perfectos mediante matrices de homografía (cv2.getPerspectiveTransform y cv2.warpPerspective).</w:t>
      </w:r>
    </w:p>
    <w:p>
      <w:pPr>
        <w:pStyle w:val="ListBullet"/>
        <w:spacing w:after="80" w:line="276" w:lineRule="auto"/>
      </w:pPr>
      <w:r>
        <w:rPr>
          <w:rFonts w:ascii="Calibri" w:hAnsi="Calibri"/>
          <w:b/>
          <w:color w:val="0F172A"/>
          <w:sz w:val="22"/>
        </w:rPr>
        <w:t>Preservación de Rango Dinámico:</w:t>
      </w:r>
      <w:r>
        <w:rPr>
          <w:rFonts w:ascii="Calibri" w:hAnsi="Calibri"/>
          <w:color w:val="1E293B"/>
          <w:sz w:val="22"/>
        </w:rPr>
        <w:t xml:space="preserve"> A diferencia de los filtros convencionales que queman o saturan el texto de tickets térmicos desgastados, LUXO preserva los píxeles puros del sensor de cámara mediante normalización dinámica de histogramas.</w:t>
      </w:r>
    </w:p>
    <w:p>
      <w:pPr>
        <w:pStyle w:val="ListBullet"/>
        <w:spacing w:after="80" w:line="276" w:lineRule="auto"/>
      </w:pPr>
      <w:r>
        <w:rPr>
          <w:rFonts w:ascii="Calibri" w:hAnsi="Calibri"/>
          <w:b/>
          <w:color w:val="0F172A"/>
          <w:sz w:val="22"/>
        </w:rPr>
        <w:t>Validación de Polarizados:</w:t>
      </w:r>
      <w:r>
        <w:rPr>
          <w:rFonts w:ascii="Calibri" w:hAnsi="Calibri"/>
          <w:color w:val="1E293B"/>
          <w:sz w:val="22"/>
        </w:rPr>
        <w:t xml:space="preserve"> Detección de patrones de polarización y micro-grabados láser en cristales mediante algoritmos de gradiente de Sobel y Canny en polar_view.py.</w:t>
      </w:r>
    </w:p>
    <w:p>
      <w:pPr>
        <w:keepNext/>
        <w:spacing w:before="320" w:after="120"/>
      </w:pPr>
      <w:r>
        <w:rPr>
          <w:rFonts w:ascii="Arial" w:hAnsi="Arial"/>
          <w:b/>
          <w:color w:val="4338CA"/>
          <w:sz w:val="28"/>
        </w:rPr>
        <w:t>3.4 Ecosistema de Voz y Audio (STT / TTS)</w:t>
      </w:r>
    </w:p>
    <w:p>
      <w:pPr>
        <w:pStyle w:val="ListBullet"/>
        <w:spacing w:after="80" w:line="276" w:lineRule="auto"/>
      </w:pPr>
      <w:r>
        <w:rPr>
          <w:rFonts w:ascii="Calibri" w:hAnsi="Calibri"/>
          <w:b/>
          <w:color w:val="0F172A"/>
          <w:sz w:val="22"/>
        </w:rPr>
        <w:t>Síntesis Neural Dual (TTS):</w:t>
      </w:r>
      <w:r>
        <w:rPr>
          <w:rFonts w:ascii="Calibri" w:hAnsi="Calibri"/>
          <w:color w:val="1E293B"/>
          <w:sz w:val="22"/>
        </w:rPr>
        <w:t xml:space="preserve"> Microsoft Edge Neural TTS en la nube para voces hiperrealistas en español y Windows SAPI SpVoice local para operación sin internet.</w:t>
      </w:r>
    </w:p>
    <w:p>
      <w:pPr>
        <w:pStyle w:val="ListBullet"/>
        <w:spacing w:after="80" w:line="276" w:lineRule="auto"/>
      </w:pPr>
      <w:r>
        <w:rPr>
          <w:rFonts w:ascii="Calibri" w:hAnsi="Calibri"/>
          <w:b/>
          <w:color w:val="0F172A"/>
          <w:sz w:val="22"/>
        </w:rPr>
        <w:t>Reconocimiento Continuo (STT):</w:t>
      </w:r>
      <w:r>
        <w:rPr>
          <w:rFonts w:ascii="Calibri" w:hAnsi="Calibri"/>
          <w:color w:val="1E293B"/>
          <w:sz w:val="22"/>
        </w:rPr>
        <w:t xml:space="preserve"> Escucha en segundo plano con biblioteca SpeechRecognition + PyAudio configurada para disparadores específicos ('Oye LUXO', 'Hola LUXO') y Web Speech API en navegadores móviles.</w:t>
      </w:r>
    </w:p>
    <w:p>
      <w:pPr>
        <w:keepNext/>
        <w:spacing w:before="320" w:after="120"/>
      </w:pPr>
      <w:r>
        <w:rPr>
          <w:rFonts w:ascii="Arial" w:hAnsi="Arial"/>
          <w:b/>
          <w:color w:val="4338CA"/>
          <w:sz w:val="28"/>
        </w:rPr>
        <w:t>3.5 APIs Complementarias</w:t>
      </w:r>
    </w:p>
    <w:p>
      <w:pPr>
        <w:pStyle w:val="ListBullet"/>
        <w:spacing w:after="80" w:line="276" w:lineRule="auto"/>
      </w:pPr>
      <w:r>
        <w:rPr>
          <w:rFonts w:ascii="Calibri" w:hAnsi="Calibri"/>
          <w:b/>
          <w:color w:val="0F172A"/>
          <w:sz w:val="22"/>
        </w:rPr>
        <w:t>FedEx Ship &amp; Track API:</w:t>
      </w:r>
      <w:r>
        <w:rPr>
          <w:rFonts w:ascii="Calibri" w:hAnsi="Calibri"/>
          <w:color w:val="1E293B"/>
          <w:sz w:val="22"/>
        </w:rPr>
        <w:t xml:space="preserve"> Conexión con endpoints REST de FedEx para cotización de fletes, generación de números de guía rastreables y control de traspasos entre sucursales.</w:t>
      </w:r>
    </w:p>
    <w:p>
      <w:pPr>
        <w:pStyle w:val="ListBullet"/>
        <w:spacing w:after="80" w:line="276" w:lineRule="auto"/>
      </w:pPr>
      <w:r>
        <w:rPr>
          <w:rFonts w:ascii="Calibri" w:hAnsi="Calibri"/>
          <w:b/>
          <w:color w:val="0F172A"/>
          <w:sz w:val="22"/>
        </w:rPr>
        <w:t>WhatsApp Web Protocol:</w:t>
      </w:r>
      <w:r>
        <w:rPr>
          <w:rFonts w:ascii="Calibri" w:hAnsi="Calibri"/>
          <w:color w:val="1E293B"/>
          <w:sz w:val="22"/>
        </w:rPr>
        <w:t xml:space="preserve"> Generador inteligente de URLs cifradas con codificación de texto URL para contacto directo con clientes en un solo clic.</w:t>
      </w:r>
    </w:p>
    <w:p>
      <w:pPr>
        <w:keepNext/>
        <w:spacing w:before="440" w:after="160"/>
      </w:pPr>
      <w:r>
        <w:rPr>
          <w:rFonts w:ascii="Arial" w:hAnsi="Arial"/>
          <w:b/>
          <w:color w:val="1E3A8A"/>
          <w:sz w:val="36"/>
        </w:rPr>
        <w:t>CAPÍTULO 4: MODELO DE DATOS, PERSISTENCIA HÍBRIDA Y TABLAS</w:t>
      </w:r>
    </w:p>
    <w:p>
      <w:pPr>
        <w:keepNext/>
        <w:spacing w:before="320" w:after="120"/>
      </w:pPr>
      <w:r>
        <w:rPr>
          <w:rFonts w:ascii="Arial" w:hAnsi="Arial"/>
          <w:b/>
          <w:color w:val="4338CA"/>
          <w:sz w:val="28"/>
        </w:rPr>
        <w:t>4.1 Estructura Relacional en MySQL</w:t>
      </w:r>
    </w:p>
    <w:p>
      <w:pPr>
        <w:spacing w:after="120" w:line="276" w:lineRule="auto"/>
      </w:pPr>
      <w:r>
        <w:rPr>
          <w:rFonts w:ascii="Calibri" w:hAnsi="Calibri"/>
          <w:color w:val="1E293B"/>
          <w:sz w:val="22"/>
        </w:rPr>
        <w:t>La base de datos MySQL 8.0 administra la jerarquía corporativa y las entidades transaccionales del negocio:</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20"/>
              </w:rPr>
              <w:t>Tabla</w:t>
            </w:r>
          </w:p>
        </w:tc>
        <w:tc>
          <w:tcPr>
            <w:tcW w:type="dxa" w:w="3120"/>
            <w:shd w:fill="1E293B"/>
          </w:tcPr>
          <w:p>
            <w:r>
              <w:rPr>
                <w:b/>
                <w:color w:val="FFFFFF"/>
                <w:sz w:val="20"/>
              </w:rPr>
              <w:t>Estructura de Campos y Llaves</w:t>
            </w:r>
          </w:p>
        </w:tc>
        <w:tc>
          <w:tcPr>
            <w:tcW w:type="dxa" w:w="3120"/>
            <w:shd w:fill="1E293B"/>
          </w:tcPr>
          <w:p>
            <w:r>
              <w:rPr>
                <w:b/>
                <w:color w:val="FFFFFF"/>
                <w:sz w:val="20"/>
              </w:rPr>
              <w:t>Propósito Funcional</w:t>
            </w:r>
          </w:p>
        </w:tc>
      </w:tr>
      <w:tr>
        <w:tc>
          <w:tcPr>
            <w:tcW w:type="dxa" w:w="3120"/>
            <w:tcMar>
              <w:top w:w="60" w:type="dxa"/>
              <w:bottom w:w="60" w:type="dxa"/>
              <w:left w:w="80" w:type="dxa"/>
              <w:right w:w="80" w:type="dxa"/>
            </w:tcMar>
          </w:tcPr>
          <w:p>
            <w:r>
              <w:rPr>
                <w:sz w:val="18"/>
              </w:rPr>
              <w:t>zonas</w:t>
            </w:r>
          </w:p>
        </w:tc>
        <w:tc>
          <w:tcPr>
            <w:tcW w:type="dxa" w:w="3120"/>
            <w:tcMar>
              <w:top w:w="60" w:type="dxa"/>
              <w:bottom w:w="60" w:type="dxa"/>
              <w:left w:w="80" w:type="dxa"/>
              <w:right w:w="80" w:type="dxa"/>
            </w:tcMar>
          </w:tcPr>
          <w:p>
            <w:r>
              <w:rPr>
                <w:sz w:val="18"/>
              </w:rPr>
              <w:t>id (INT PK), nombre_zona (VARCHAR), gerente_zona (VARCHAR)</w:t>
            </w:r>
          </w:p>
        </w:tc>
        <w:tc>
          <w:tcPr>
            <w:tcW w:type="dxa" w:w="3120"/>
            <w:tcMar>
              <w:top w:w="60" w:type="dxa"/>
              <w:bottom w:w="60" w:type="dxa"/>
              <w:left w:w="80" w:type="dxa"/>
              <w:right w:w="80" w:type="dxa"/>
            </w:tcMar>
          </w:tcPr>
          <w:p>
            <w:r>
              <w:rPr>
                <w:sz w:val="18"/>
              </w:rPr>
              <w:t>Define las 4 macro-zonas operativas del país (Centro, Norte, Occidente, Sur).</w:t>
            </w:r>
          </w:p>
        </w:tc>
      </w:tr>
      <w:tr>
        <w:tc>
          <w:tcPr>
            <w:tcW w:type="dxa" w:w="3120"/>
            <w:tcMar>
              <w:top w:w="60" w:type="dxa"/>
              <w:bottom w:w="60" w:type="dxa"/>
              <w:left w:w="80" w:type="dxa"/>
              <w:right w:w="80" w:type="dxa"/>
            </w:tcMar>
          </w:tcPr>
          <w:p>
            <w:r>
              <w:rPr>
                <w:sz w:val="18"/>
              </w:rPr>
              <w:t>regiones</w:t>
            </w:r>
          </w:p>
        </w:tc>
        <w:tc>
          <w:tcPr>
            <w:tcW w:type="dxa" w:w="3120"/>
            <w:tcMar>
              <w:top w:w="60" w:type="dxa"/>
              <w:bottom w:w="60" w:type="dxa"/>
              <w:left w:w="80" w:type="dxa"/>
              <w:right w:w="80" w:type="dxa"/>
            </w:tcMar>
          </w:tcPr>
          <w:p>
            <w:r>
              <w:rPr>
                <w:sz w:val="18"/>
              </w:rPr>
              <w:t>id (INT PK), zona_id (INT FK), nombre_region (VARCHAR), gerente_area (VARCHAR)</w:t>
            </w:r>
          </w:p>
        </w:tc>
        <w:tc>
          <w:tcPr>
            <w:tcW w:type="dxa" w:w="3120"/>
            <w:tcMar>
              <w:top w:w="60" w:type="dxa"/>
              <w:bottom w:w="60" w:type="dxa"/>
              <w:left w:w="80" w:type="dxa"/>
              <w:right w:w="80" w:type="dxa"/>
            </w:tcMar>
          </w:tcPr>
          <w:p>
            <w:r>
              <w:rPr>
                <w:sz w:val="18"/>
              </w:rPr>
              <w:t>Subdivide el territorio nacional en 16 regiones operativas (AICM, MTY, GDL, CUN, etc.).</w:t>
            </w:r>
          </w:p>
        </w:tc>
      </w:tr>
      <w:tr>
        <w:tc>
          <w:tcPr>
            <w:tcW w:type="dxa" w:w="3120"/>
            <w:tcMar>
              <w:top w:w="60" w:type="dxa"/>
              <w:bottom w:w="60" w:type="dxa"/>
              <w:left w:w="80" w:type="dxa"/>
              <w:right w:w="80" w:type="dxa"/>
            </w:tcMar>
          </w:tcPr>
          <w:p>
            <w:r>
              <w:rPr>
                <w:sz w:val="18"/>
              </w:rPr>
              <w:t>tiendas</w:t>
            </w:r>
          </w:p>
        </w:tc>
        <w:tc>
          <w:tcPr>
            <w:tcW w:type="dxa" w:w="3120"/>
            <w:tcMar>
              <w:top w:w="60" w:type="dxa"/>
              <w:bottom w:w="60" w:type="dxa"/>
              <w:left w:w="80" w:type="dxa"/>
              <w:right w:w="80" w:type="dxa"/>
            </w:tcMar>
          </w:tcPr>
          <w:p>
            <w:r>
              <w:rPr>
                <w:sz w:val="18"/>
              </w:rPr>
              <w:t>id (INT PK - Ej. 3502), region_id (INT FK), nombre_tienda (VARCHAR)</w:t>
            </w:r>
          </w:p>
        </w:tc>
        <w:tc>
          <w:tcPr>
            <w:tcW w:type="dxa" w:w="3120"/>
            <w:tcMar>
              <w:top w:w="60" w:type="dxa"/>
              <w:bottom w:w="60" w:type="dxa"/>
              <w:left w:w="80" w:type="dxa"/>
              <w:right w:w="80" w:type="dxa"/>
            </w:tcMar>
          </w:tcPr>
          <w:p>
            <w:r>
              <w:rPr>
                <w:sz w:val="18"/>
              </w:rPr>
              <w:t>Catálogo maestro de más de 150 sucursales con código único de punto de venta.</w:t>
            </w:r>
          </w:p>
        </w:tc>
      </w:tr>
      <w:tr>
        <w:tc>
          <w:tcPr>
            <w:tcW w:type="dxa" w:w="3120"/>
            <w:tcMar>
              <w:top w:w="60" w:type="dxa"/>
              <w:bottom w:w="60" w:type="dxa"/>
              <w:left w:w="80" w:type="dxa"/>
              <w:right w:w="80" w:type="dxa"/>
            </w:tcMar>
          </w:tcPr>
          <w:p>
            <w:r>
              <w:rPr>
                <w:sz w:val="18"/>
              </w:rPr>
              <w:t>usuarios</w:t>
            </w:r>
          </w:p>
        </w:tc>
        <w:tc>
          <w:tcPr>
            <w:tcW w:type="dxa" w:w="3120"/>
            <w:tcMar>
              <w:top w:w="60" w:type="dxa"/>
              <w:bottom w:w="60" w:type="dxa"/>
              <w:left w:w="80" w:type="dxa"/>
              <w:right w:w="80" w:type="dxa"/>
            </w:tcMar>
          </w:tcPr>
          <w:p>
            <w:r>
              <w:rPr>
                <w:sz w:val="18"/>
              </w:rPr>
              <w:t>ID_Usuario (INT PK), Usuario, Password, Rol_ID (FK), Tienda_ID (FK), Zona, Region</w:t>
            </w:r>
          </w:p>
        </w:tc>
        <w:tc>
          <w:tcPr>
            <w:tcW w:type="dxa" w:w="3120"/>
            <w:tcMar>
              <w:top w:w="60" w:type="dxa"/>
              <w:bottom w:w="60" w:type="dxa"/>
              <w:left w:w="80" w:type="dxa"/>
              <w:right w:w="80" w:type="dxa"/>
            </w:tcMar>
          </w:tcPr>
          <w:p>
            <w:r>
              <w:rPr>
                <w:sz w:val="18"/>
              </w:rPr>
              <w:t>Gestión de credenciales con hashing criptográfico, roles (Admin, Gerente, Asesor) y pertenencia geográfica.</w:t>
            </w:r>
          </w:p>
        </w:tc>
      </w:tr>
      <w:tr>
        <w:tc>
          <w:tcPr>
            <w:tcW w:type="dxa" w:w="3120"/>
            <w:tcMar>
              <w:top w:w="60" w:type="dxa"/>
              <w:bottom w:w="60" w:type="dxa"/>
              <w:left w:w="80" w:type="dxa"/>
              <w:right w:w="80" w:type="dxa"/>
            </w:tcMar>
          </w:tcPr>
          <w:p>
            <w:r>
              <w:rPr>
                <w:sz w:val="18"/>
              </w:rPr>
              <w:t>checklists_registro</w:t>
            </w:r>
          </w:p>
        </w:tc>
        <w:tc>
          <w:tcPr>
            <w:tcW w:type="dxa" w:w="3120"/>
            <w:tcMar>
              <w:top w:w="60" w:type="dxa"/>
              <w:bottom w:w="60" w:type="dxa"/>
              <w:left w:w="80" w:type="dxa"/>
              <w:right w:w="80" w:type="dxa"/>
            </w:tcMar>
          </w:tcPr>
          <w:p>
            <w:r>
              <w:rPr>
                <w:sz w:val="18"/>
              </w:rPr>
              <w:t>id (INT PK), tienda_id (INT), fecha (DATE), tipo (Apertura/Cierre/Venta), porcentaje (FLOAT)</w:t>
            </w:r>
          </w:p>
        </w:tc>
        <w:tc>
          <w:tcPr>
            <w:tcW w:type="dxa" w:w="3120"/>
            <w:tcMar>
              <w:top w:w="60" w:type="dxa"/>
              <w:bottom w:w="60" w:type="dxa"/>
              <w:left w:w="80" w:type="dxa"/>
              <w:right w:w="80" w:type="dxa"/>
            </w:tcMar>
          </w:tcPr>
          <w:p>
            <w:r>
              <w:rPr>
                <w:sz w:val="18"/>
              </w:rPr>
              <w:t>Registro histórico de cumplimiento de rutinas y auditoría en piso de venta.</w:t>
            </w:r>
          </w:p>
        </w:tc>
      </w:tr>
      <w:tr>
        <w:tc>
          <w:tcPr>
            <w:tcW w:type="dxa" w:w="3120"/>
            <w:tcMar>
              <w:top w:w="60" w:type="dxa"/>
              <w:bottom w:w="60" w:type="dxa"/>
              <w:left w:w="80" w:type="dxa"/>
              <w:right w:w="80" w:type="dxa"/>
            </w:tcMar>
          </w:tcPr>
          <w:p>
            <w:r>
              <w:rPr>
                <w:sz w:val="18"/>
              </w:rPr>
              <w:t>comisiones_vendedores</w:t>
            </w:r>
          </w:p>
        </w:tc>
        <w:tc>
          <w:tcPr>
            <w:tcW w:type="dxa" w:w="3120"/>
            <w:tcMar>
              <w:top w:w="60" w:type="dxa"/>
              <w:bottom w:w="60" w:type="dxa"/>
              <w:left w:w="80" w:type="dxa"/>
              <w:right w:w="80" w:type="dxa"/>
            </w:tcMar>
          </w:tcPr>
          <w:p>
            <w:r>
              <w:rPr>
                <w:sz w:val="18"/>
              </w:rPr>
              <w:t>id (INT PK), tienda_id, asesor_nombre, mes, meta_individual, venta_real, porcentaje</w:t>
            </w:r>
          </w:p>
        </w:tc>
        <w:tc>
          <w:tcPr>
            <w:tcW w:type="dxa" w:w="3120"/>
            <w:tcMar>
              <w:top w:w="60" w:type="dxa"/>
              <w:bottom w:w="60" w:type="dxa"/>
              <w:left w:w="80" w:type="dxa"/>
              <w:right w:w="80" w:type="dxa"/>
            </w:tcMar>
          </w:tcPr>
          <w:p>
            <w:r>
              <w:rPr>
                <w:sz w:val="18"/>
              </w:rPr>
              <w:t>Cálculo y liquidación de comisiones comerciales e incentivos de marca.</w:t>
            </w:r>
          </w:p>
        </w:tc>
      </w:tr>
    </w:tbl>
    <w:p>
      <w:pPr>
        <w:keepNext/>
        <w:spacing w:before="320" w:after="120"/>
      </w:pPr>
      <w:r>
        <w:rPr>
          <w:rFonts w:ascii="Arial" w:hAnsi="Arial"/>
          <w:b/>
          <w:color w:val="4338CA"/>
          <w:sz w:val="28"/>
        </w:rPr>
        <w:t>4.2 Persistencia NoSQL Local en JSON</w:t>
      </w:r>
    </w:p>
    <w:p>
      <w:pPr>
        <w:spacing w:after="120" w:line="276" w:lineRule="auto"/>
      </w:pPr>
      <w:r>
        <w:rPr>
          <w:rFonts w:ascii="Calibri" w:hAnsi="Calibri"/>
          <w:color w:val="1E293B"/>
          <w:sz w:val="22"/>
        </w:rPr>
        <w:t>Para maximizar la resiliencia en puntos de venta donde la conectividad puede fluctuar, el sistema almacena estados críticos en archivos JSON independientes:</w:t>
      </w:r>
    </w:p>
    <w:p>
      <w:pPr>
        <w:pStyle w:val="ListBullet"/>
        <w:spacing w:after="80" w:line="276" w:lineRule="auto"/>
      </w:pPr>
      <w:r>
        <w:rPr>
          <w:rFonts w:ascii="Calibri" w:hAnsi="Calibri"/>
          <w:b/>
          <w:color w:val="0F172A"/>
          <w:sz w:val="22"/>
        </w:rPr>
        <w:t>disa_status.json:</w:t>
      </w:r>
      <w:r>
        <w:rPr>
          <w:rFonts w:ascii="Calibri" w:hAnsi="Calibri"/>
          <w:color w:val="1E293B"/>
          <w:sz w:val="22"/>
        </w:rPr>
        <w:t xml:space="preserve"> Almacena el estado de semáforo por día (Verde, Amarillo, Rojo), banderas de validación, notas de auditoría y aclaraciones redactadas por tienda.</w:t>
      </w:r>
    </w:p>
    <w:p>
      <w:pPr>
        <w:pStyle w:val="ListBullet"/>
        <w:spacing w:after="80" w:line="276" w:lineRule="auto"/>
      </w:pPr>
      <w:r>
        <w:rPr>
          <w:rFonts w:ascii="Calibri" w:hAnsi="Calibri"/>
          <w:b/>
          <w:color w:val="0F172A"/>
          <w:sz w:val="22"/>
        </w:rPr>
        <w:t>enfoque_diario_state_*.json:</w:t>
      </w:r>
      <w:r>
        <w:rPr>
          <w:rFonts w:ascii="Calibri" w:hAnsi="Calibri"/>
          <w:color w:val="1E293B"/>
          <w:sz w:val="22"/>
        </w:rPr>
        <w:t xml:space="preserve"> Hojas de cálculo y planeación comercial particionadas por usuario y sucursal, garantizando cero pérdida de datos ante recargas de página.</w:t>
      </w:r>
    </w:p>
    <w:p>
      <w:r>
        <w:br w:type="page"/>
      </w:r>
    </w:p>
    <w:p>
      <w:pPr>
        <w:keepNext/>
        <w:spacing w:before="440" w:after="160"/>
      </w:pPr>
      <w:r>
        <w:rPr>
          <w:rFonts w:ascii="Arial" w:hAnsi="Arial"/>
          <w:b/>
          <w:color w:val="1E3A8A"/>
          <w:sz w:val="36"/>
        </w:rPr>
        <w:t>CAPÍTULO 5: MAPEO Y ANÁLISIS EXHAUSTIVO DE LOS 30 MÓDULOS DE LUXO</w:t>
      </w:r>
    </w:p>
    <w:p>
      <w:pPr>
        <w:spacing w:after="120" w:line="276" w:lineRule="auto"/>
      </w:pPr>
      <w:r>
        <w:rPr>
          <w:rFonts w:ascii="Calibri" w:hAnsi="Calibri"/>
          <w:color w:val="1E293B"/>
          <w:sz w:val="22"/>
        </w:rPr>
        <w:t>A continuación se presenta la descomposición técnica y funcional detallada de cada una de las 30 pestañas que componen la plataforma LUXO AI SYSTEM v7.7:</w:t>
      </w:r>
    </w:p>
    <w:p>
      <w:pPr>
        <w:keepNext/>
        <w:spacing w:before="320" w:after="120"/>
      </w:pPr>
      <w:r>
        <w:rPr>
          <w:rFonts w:ascii="Arial" w:hAnsi="Arial"/>
          <w:b/>
          <w:color w:val="4338CA"/>
          <w:sz w:val="28"/>
        </w:rPr>
        <w:t>1. chat - 🤖 Asistente Virtual LUXO AI</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Asistencia técnica y operativa en tiempo real con Inteligencia Artificial Generativa y voz.</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 los colaboradores consultar cualquier política, garantía o procedimiento de caja en segundos, interactuando por texto, micrófono o comando manos libres 'Oye LUXO'.</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Conexión a Groq Cloud API (Llama-3.3-70B), recuperación contextual RAG de manuales en PDF, síntesis de voz dual (Edge-TTS / SAPI) y fallback offline.</w:t>
      </w:r>
    </w:p>
    <w:p>
      <w:pPr>
        <w:keepNext/>
        <w:spacing w:before="320" w:after="120"/>
      </w:pPr>
      <w:r>
        <w:rPr>
          <w:rFonts w:ascii="Arial" w:hAnsi="Arial"/>
          <w:b/>
          <w:color w:val="4338CA"/>
          <w:sz w:val="28"/>
        </w:rPr>
        <w:t>2. historial - 📜 Historial de Consultas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Auditoría, trazabilidad y análisis de dudas frecuentes en tienda.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al personal y supervisores revisar las conversaciones pasadas para reforzar temas de capacitación y detectar patrones de dudas recurrentes.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Registro temporal indexado por ID de sesión y usuario con marcas de tiempo y etiquetas de retroalimentación (Like/Dislike).</w:t>
      </w:r>
    </w:p>
    <w:p>
      <w:pPr>
        <w:keepNext/>
        <w:spacing w:before="320" w:after="120"/>
      </w:pPr>
      <w:r>
        <w:rPr>
          <w:rFonts w:ascii="Arial" w:hAnsi="Arial"/>
          <w:b/>
          <w:color w:val="4338CA"/>
          <w:sz w:val="28"/>
        </w:rPr>
        <w:t>3. operacion_diaria - ⏰ Operación Diaria y Aperturas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Monitoreo en tiempo real del estatus de apertura y puntualidad nacional.</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Otorga a la Dirección y Gerencias de Área visibilidad en vivo sobre qué tiendas han completado su apertura y si existen retrasos operativos.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Consultas agregadas a base de datos filtradas por Zona y Región con componente visual de estrella reactiva en la barra superior.</w:t>
      </w:r>
    </w:p>
    <w:p>
      <w:pPr>
        <w:keepNext/>
        <w:spacing w:before="320" w:after="120"/>
      </w:pPr>
      <w:r>
        <w:rPr>
          <w:rFonts w:ascii="Arial" w:hAnsi="Arial"/>
          <w:b/>
          <w:color w:val="4338CA"/>
          <w:sz w:val="28"/>
        </w:rPr>
        <w:t>4. checklists - ✅ Checklists Operativos de Tienda</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Estandarización y control de rutinas de Apertura, Cierre y Venta.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Asegura que el personal ejecute las 15 tareas críticas matutinas (alarmas, caja, imagen) y nocturnas (arqueo, candados, resguardo de valores).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Formularios reactivos con cálculo dinámico de porcentaje de cumplimiento en barra de progreso y persistencia inmediata en MySQL.</w:t>
      </w:r>
    </w:p>
    <w:p>
      <w:pPr>
        <w:keepNext/>
        <w:spacing w:before="320" w:after="120"/>
      </w:pPr>
      <w:r>
        <w:rPr>
          <w:rFonts w:ascii="Arial" w:hAnsi="Arial"/>
          <w:b/>
          <w:color w:val="4338CA"/>
          <w:sz w:val="28"/>
        </w:rPr>
        <w:t>5. manuales - 📚 Biblioteca de Manuales y RAG</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Repositorio documental corporativo y visor de políticas oficiales.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Centraliza manuales de producto, protocolos de servicio, guías de punto de venta y normativas de seguridad en un solo lugar indexado.</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Lector de PDFs integrado, motor de parseo textual y re-indexador semántico para alimentar la base de conocimientos de la IA.</w:t>
      </w:r>
    </w:p>
    <w:p>
      <w:pPr>
        <w:keepNext/>
        <w:spacing w:before="320" w:after="120"/>
      </w:pPr>
      <w:r>
        <w:rPr>
          <w:rFonts w:ascii="Arial" w:hAnsi="Arial"/>
          <w:b/>
          <w:color w:val="4338CA"/>
          <w:sz w:val="28"/>
        </w:rPr>
        <w:t>6. catalogo_upc - 🏷️ Catálogo UPC y Buscador de Modelos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Consulta ágil de códigos de producto, variantes y compatibilidades.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Facilita la búsqueda rápida de códigos de barras (UPC), armazones, colores, medidas de puente y varilla durante la atención al cliente.</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Buscador de alto rendimiento con coincidencia difusa (fuzzy search) y filtros por marca de lujo.</w:t>
      </w:r>
    </w:p>
    <w:p>
      <w:pPr>
        <w:keepNext/>
        <w:spacing w:before="320" w:after="120"/>
      </w:pPr>
      <w:r>
        <w:rPr>
          <w:rFonts w:ascii="Arial" w:hAnsi="Arial"/>
          <w:b/>
          <w:color w:val="4338CA"/>
          <w:sz w:val="28"/>
        </w:rPr>
        <w:t>7. garantias - 🛡️ Módulo de Garantías y Casos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Flujo guiado para resolución de garantías y sustitución de piezas.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Guía paso a paso al asesor para determinar si un daño procede como defecto de fábrica o negligencia, evitando pérdidas por garantías no válidas.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Árbol de decisión interactivo con validación de requisitos por país de compra y antigüedad del producto.</w:t>
      </w:r>
    </w:p>
    <w:p>
      <w:pPr>
        <w:keepNext/>
        <w:spacing w:before="320" w:after="120"/>
      </w:pPr>
      <w:r>
        <w:rPr>
          <w:rFonts w:ascii="Arial" w:hAnsi="Arial"/>
          <w:b/>
          <w:color w:val="4338CA"/>
          <w:sz w:val="28"/>
        </w:rPr>
        <w:t>8. pendientes - 📌 Tablero de Pendientes de Sucursal</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Organización y seguimiento de pendientes prioritarios de tienda.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 los turnos matutino y vespertino dejar notas de seguimiento sobre clientes por contactar, pedidos por recibir o mantenimientos pendientes.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Tablero Kanban ligero con estados de tarea, prioridades cromáticas y persistencia en base de datos.</w:t>
      </w:r>
    </w:p>
    <w:p>
      <w:pPr>
        <w:keepNext/>
        <w:spacing w:before="320" w:after="120"/>
      </w:pPr>
      <w:r>
        <w:rPr>
          <w:rFonts w:ascii="Arial" w:hAnsi="Arial"/>
          <w:b/>
          <w:color w:val="4338CA"/>
          <w:sz w:val="28"/>
        </w:rPr>
        <w:t>9. tareas - 📝 Módulo de Tareas Asignadas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Gestión y cumplimiento de directivas enviadas por Gerentes de Área.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 la supervisión asignar tareas con fecha límite a sucursales específicas y verificar su cumplimiento con evidencias.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Sistema de asignación jerárquica con alertas de vencimiento y confirmación de recepción.</w:t>
      </w:r>
    </w:p>
    <w:p>
      <w:pPr>
        <w:keepNext/>
        <w:spacing w:before="320" w:after="120"/>
      </w:pPr>
      <w:r>
        <w:rPr>
          <w:rFonts w:ascii="Arial" w:hAnsi="Arial"/>
          <w:b/>
          <w:color w:val="4338CA"/>
          <w:sz w:val="28"/>
        </w:rPr>
        <w:t>10. campanas - 📸 Campañas Comerciales y Material POP</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Auditoría visual del montaje de vitrinas, visual merchandising y publicidad.</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Garantiza que las tiendas exhiban las campañas de temporada (Summer, Back to School, Holiday) de acuerdo con los lineamientos globales de marca.</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Carga de fotografías de alta resolución con previsualización, almacenamiento organizado por campaña y validación de evidencias.</w:t>
      </w:r>
    </w:p>
    <w:p>
      <w:pPr>
        <w:keepNext/>
        <w:spacing w:before="320" w:after="120"/>
      </w:pPr>
      <w:r>
        <w:rPr>
          <w:rFonts w:ascii="Arial" w:hAnsi="Arial"/>
          <w:b/>
          <w:color w:val="4338CA"/>
          <w:sz w:val="28"/>
        </w:rPr>
        <w:t>11. presupuesto - 💵 Presupuesto Financiero y Metas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Tablero de control financiero, cuotas mensuales y tendencias de venta.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Brinda a los líderes de tienda visibilidad clara sobre su meta mensual, ritmo de venta necesario (run rate) y porcentaje de alcance acumulado.</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Cálculo automático de proyecciones financieras, comparativas contra año anterior y gráficos interactivos.</w:t>
      </w:r>
    </w:p>
    <w:p>
      <w:pPr>
        <w:keepNext/>
        <w:spacing w:before="320" w:after="120"/>
      </w:pPr>
      <w:r>
        <w:rPr>
          <w:rFonts w:ascii="Arial" w:hAnsi="Arial"/>
          <w:b/>
          <w:color w:val="4338CA"/>
          <w:sz w:val="28"/>
        </w:rPr>
        <w:t>12. reto - 🎯 Reto del Día / Trivia Operativa</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Gamificación y formación continua diaria del personal de piso.</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Incentiva el conocimiento de producto y técnicas de venta mediante una pregunta diaria de opción múltiple con puntajes acumulables.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Generador dinámico de trivias, sistema de puntuación por asesor y retroalimentación técnica inmediata al contestar.</w:t>
      </w:r>
    </w:p>
    <w:p>
      <w:pPr>
        <w:keepNext/>
        <w:spacing w:before="320" w:after="120"/>
      </w:pPr>
      <w:r>
        <w:rPr>
          <w:rFonts w:ascii="Arial" w:hAnsi="Arial"/>
          <w:b/>
          <w:color w:val="4338CA"/>
          <w:sz w:val="28"/>
        </w:rPr>
        <w:t>13. vendedores - 👥 Panel de Asesores y Comisiones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Control de horas laboradas, comisiones ganadas y desempeño individual.</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Motiva al equipo comercial mostrando de forma transparente el avance de comisiones ganadas en tiempo real por cada venta registrada.</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Motor de cálculo de comisiones escalonadas, integración con catálogo de vendedores y exportación de reportes.</w:t>
      </w:r>
    </w:p>
    <w:p>
      <w:pPr>
        <w:keepNext/>
        <w:spacing w:before="320" w:after="120"/>
      </w:pPr>
      <w:r>
        <w:rPr>
          <w:rFonts w:ascii="Arial" w:hAnsi="Arial"/>
          <w:b/>
          <w:color w:val="4338CA"/>
          <w:sz w:val="28"/>
        </w:rPr>
        <w:t>14. fedex - 📦 Logística FedEx y Traspasos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Generación de guías de envío y rastreo de mercancía entre tiendas.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Agiliza el traspaso de piezas solicitadas por clientes entre distintas sucursales, reduciendo el tiempo de generación de guías.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Integración con API oficial de FedEx, validación de códigos postales y consulta de número de rastreo en tiempo real.</w:t>
      </w:r>
    </w:p>
    <w:p>
      <w:pPr>
        <w:keepNext/>
        <w:spacing w:before="320" w:after="120"/>
      </w:pPr>
      <w:r>
        <w:rPr>
          <w:rFonts w:ascii="Arial" w:hAnsi="Arial"/>
          <w:b/>
          <w:color w:val="4338CA"/>
          <w:sz w:val="28"/>
        </w:rPr>
        <w:t>15. simulador - 🎭 Simulador de Ventas / Roleplay IA</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Entrenamiento interactivo en manejo de objeciones y técnicas de cierre.</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 los asesores practicar situaciones difíciles con clientes virtuales (precio elevado, comparaciones con competencia) por texto o voz.</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Agente LLM con personalidades dinámicas de clientes, evaluador de habilidades y reporte de áreas de oportunidad formativa.</w:t>
      </w:r>
    </w:p>
    <w:p>
      <w:pPr>
        <w:keepNext/>
        <w:spacing w:before="320" w:after="120"/>
      </w:pPr>
      <w:r>
        <w:rPr>
          <w:rFonts w:ascii="Arial" w:hAnsi="Arial"/>
          <w:b/>
          <w:color w:val="4338CA"/>
          <w:sz w:val="28"/>
        </w:rPr>
        <w:t>16. crm - 📱 CRM Clientes, Garantías y WhatsApp</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Fidelización, cartera de clientes y recordatorio preventivo al Mes 11.</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Mantiene la relación con el cliente tras la venta, recordando ajustes gratuitos y promociones exclusivas para incentivar la recompra.</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Base de datos de clientes, motor de cálculo de vencimiento de garantías y generador de enlaces de WhatsApp personalizados.</w:t>
      </w:r>
    </w:p>
    <w:p>
      <w:pPr>
        <w:keepNext/>
        <w:spacing w:before="320" w:after="120"/>
      </w:pPr>
      <w:r>
        <w:rPr>
          <w:rFonts w:ascii="Arial" w:hAnsi="Arial"/>
          <w:b/>
          <w:color w:val="4338CA"/>
          <w:sz w:val="28"/>
        </w:rPr>
        <w:t>17. facturacion - 🧾 Facturación SAT y Validación Fiscal</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Control y seguimiento de solicitudes de factura para clientes.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Evita retrasos y quejas de clientes por facturas no emitidas, registrando los datos fiscales completos desde la sucursal.</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Formulario con validación de RFC, régimen fiscal y exportación directa al área de contabilidad corporativa.</w:t>
      </w:r>
    </w:p>
    <w:p>
      <w:pPr>
        <w:keepNext/>
        <w:spacing w:before="320" w:after="120"/>
      </w:pPr>
      <w:r>
        <w:rPr>
          <w:rFonts w:ascii="Arial" w:hAnsi="Arial"/>
          <w:b/>
          <w:color w:val="4338CA"/>
          <w:sz w:val="28"/>
        </w:rPr>
        <w:t>18. meta_semanal - 📅 Meta Semanal y Planificación</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Desglose táctico de metas comerciales por día de la semana.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al gerente de tienda distribuir la cuota semanal considerando los días de mayor afluencia (viernes a domingo).</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Matriz interactiva de distribución porcentual y balanceo de cuotas con sincronización a base de datos.</w:t>
      </w:r>
    </w:p>
    <w:p>
      <w:pPr>
        <w:keepNext/>
        <w:spacing w:before="320" w:after="120"/>
      </w:pPr>
      <w:r>
        <w:rPr>
          <w:rFonts w:ascii="Arial" w:hAnsi="Arial"/>
          <w:b/>
          <w:color w:val="4338CA"/>
          <w:sz w:val="28"/>
        </w:rPr>
        <w:t>19. weekly - 📊 Weekly Review Ejecutivo</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Informe ejecutivo semanal de indicadores de rendimiento.</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Proporciona a la Dirección un resumen de ventas, cumplimiento de checklists, incidencias de auditoría y top tiendas.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Generación de reportes consolidados y exportación a formatos estándar de presentación.</w:t>
      </w:r>
    </w:p>
    <w:p>
      <w:pPr>
        <w:keepNext/>
        <w:spacing w:before="320" w:after="120"/>
      </w:pPr>
      <w:r>
        <w:rPr>
          <w:rFonts w:ascii="Arial" w:hAnsi="Arial"/>
          <w:b/>
          <w:color w:val="4338CA"/>
          <w:sz w:val="28"/>
        </w:rPr>
        <w:t>20. polar - 🕶️ Catálogo de Polarizados y Óptica</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Fichas técnicas de tecnologías de micas y filtros UV.</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Capacita al vendedor para explicar con bases científicas las ventajas de cristales Chromance, Prizm y polarizados premium.</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Catálogo interactivo con comparadores visuales de reducción de reflejos y gráficos de transmisión de luz.</w:t>
      </w:r>
    </w:p>
    <w:p>
      <w:pPr>
        <w:keepNext/>
        <w:spacing w:before="320" w:after="120"/>
      </w:pPr>
      <w:r>
        <w:rPr>
          <w:rFonts w:ascii="Arial" w:hAnsi="Arial"/>
          <w:b/>
          <w:color w:val="4338CA"/>
          <w:sz w:val="28"/>
        </w:rPr>
        <w:t>21. ciclicos - 🔄 Control de Inventarios Cíclicos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Auditoría preventiva de producto en piso y cajones.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Previene mermas y extravíos mediante el conteo diario estructurado de categorías específicas de armazones.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Registro de diferencias de inventario, conciliación contra sistema central y generación de bitácora de mermas.</w:t>
      </w:r>
    </w:p>
    <w:p>
      <w:pPr>
        <w:keepNext/>
        <w:spacing w:before="320" w:after="120"/>
      </w:pPr>
      <w:r>
        <w:rPr>
          <w:rFonts w:ascii="Arial" w:hAnsi="Arial"/>
          <w:b/>
          <w:color w:val="4338CA"/>
          <w:sz w:val="28"/>
        </w:rPr>
        <w:t>22. descuentos - 🏷️ Matriz de Descuentos y Promociones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Calculadora oficial de promociones comerciales autorizadas.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Garantiza la correcta aplicación de descuentos en caja (promociones bancarias, convenios corporativos, rebajas).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Calculadora con reglas de negocio que impiden la acumulación indebida de promociones no autorizadas.</w:t>
      </w:r>
    </w:p>
    <w:p>
      <w:pPr>
        <w:keepNext/>
        <w:spacing w:before="320" w:after="120"/>
      </w:pPr>
      <w:r>
        <w:rPr>
          <w:rFonts w:ascii="Arial" w:hAnsi="Arial"/>
          <w:b/>
          <w:color w:val="4338CA"/>
          <w:sz w:val="28"/>
        </w:rPr>
        <w:t>23. panamericano - 🚛 Panamericano / Depósitos de Efectivo</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Registro de recolección de valores y resguardo de fichas bancarias.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Asegura la trazabilidad del efectivo entregado a la empresa de traslado de valores con número de envase y comprobante.</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Formulario de registro de folio de recolección, hora, importe entregado y digitalización de comprobante sellado.</w:t>
      </w:r>
    </w:p>
    <w:p>
      <w:pPr>
        <w:keepNext/>
        <w:spacing w:before="320" w:after="120"/>
      </w:pPr>
      <w:r>
        <w:rPr>
          <w:rFonts w:ascii="Arial" w:hAnsi="Arial"/>
          <w:b/>
          <w:color w:val="4338CA"/>
          <w:sz w:val="28"/>
        </w:rPr>
        <w:t>24. disa - 📊 DiSA (Auditoría Digital y Semáforo)</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Digitalización y auditoría diaria de comprobación de ventas.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Elimina el papeleo físico y garantiza que el 100% de los cortes Z, fichas de depósito y tickets cuenten con sello y firma.</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Carga de 14 secciones, visor HD con corrección de perspectiva OpenCV, semáforo inteligente (Verde/Amarillo/Rojo/Azul) y pestaña de Aclaraciones.</w:t>
      </w:r>
    </w:p>
    <w:p>
      <w:pPr>
        <w:keepNext/>
        <w:spacing w:before="320" w:after="120"/>
      </w:pPr>
      <w:r>
        <w:rPr>
          <w:rFonts w:ascii="Arial" w:hAnsi="Arial"/>
          <w:b/>
          <w:color w:val="4338CA"/>
          <w:sz w:val="28"/>
        </w:rPr>
        <w:t>25. enfoque_diario - 🎯 Enfoque Diario (Meta y Plan de Acción)</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Herramienta de planeación horaria de ventas y métricas de piso.</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Convierte la meta del día en acciones concretas por hora, calculando el Ticket Promedio (ATV) y Piezas por Transacción (UPT) necesarios.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Hoja de trabajo reactiva con persistencia JSON aislada por tienda y exportación a PDF imprimible y Excel.</w:t>
      </w:r>
    </w:p>
    <w:p>
      <w:pPr>
        <w:keepNext/>
        <w:spacing w:before="320" w:after="120"/>
      </w:pPr>
      <w:r>
        <w:rPr>
          <w:rFonts w:ascii="Arial" w:hAnsi="Arial"/>
          <w:b/>
          <w:color w:val="4338CA"/>
          <w:sz w:val="28"/>
        </w:rPr>
        <w:t>26. enfoque_semanal - 📈 Enfoque Semanal Acumulado</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Seguimiento acumulado de la semana contra el presupuesto mensual.</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corregir desviaciones comerciales a mitad de semana antes del cierre dominical.</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Consolidador semanal con proyecciones y cálculo de desvíos contra presupuesto.</w:t>
      </w:r>
    </w:p>
    <w:p>
      <w:pPr>
        <w:keepNext/>
        <w:spacing w:before="320" w:after="120"/>
      </w:pPr>
      <w:r>
        <w:rPr>
          <w:rFonts w:ascii="Arial" w:hAnsi="Arial"/>
          <w:b/>
          <w:color w:val="4338CA"/>
          <w:sz w:val="28"/>
        </w:rPr>
        <w:t>27. parroquiales_minutas - 📢 Avisos Parroquiales y Minutas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Tablero de comunicados urgentes y minutas de junta.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Garantiza que toda la red de sucursales esté enterada de cambios en precios, promociones relámpago o circulares de Recursos Humanos.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Muro digital de avisos con confirmación de lectura por sucursal y repositorio de minutas de junta.</w:t>
      </w:r>
    </w:p>
    <w:p>
      <w:pPr>
        <w:keepNext/>
        <w:spacing w:before="320" w:after="120"/>
      </w:pPr>
      <w:r>
        <w:rPr>
          <w:rFonts w:ascii="Arial" w:hAnsi="Arial"/>
          <w:b/>
          <w:color w:val="4338CA"/>
          <w:sz w:val="28"/>
        </w:rPr>
        <w:t>28. dashboard - 🏢 Dashboard Gerencial BI</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Centro de mando ejecutivo con filtros nacionales y regionales.</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 directores y gerentes evaluar el desempeño de la empresa en un solo vistazo, filtrando por Zona, Región o Sucursal.</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Gráficos analíticos de aperturas en vivo, cumplimiento de checklists, recaudación y auditoría DiSA.</w:t>
      </w:r>
    </w:p>
    <w:p>
      <w:pPr>
        <w:keepNext/>
        <w:spacing w:before="320" w:after="120"/>
      </w:pPr>
      <w:r>
        <w:rPr>
          <w:rFonts w:ascii="Arial" w:hAnsi="Arial"/>
          <w:b/>
          <w:color w:val="4338CA"/>
          <w:sz w:val="28"/>
        </w:rPr>
        <w:t>29. admin_trivia - ⚙️ Administración de Trivias</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Gestor de contenidos para el módulo de Reto del Día.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Permite al área de Capacitación y RRHH crear preguntas técnicas, fijar respuestas correctas y calendarizar publicaciones.</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Editor CRUD de preguntas, categorías, niveles de dificultad y reportería de respuestas a nivel nacional.</w:t>
      </w:r>
    </w:p>
    <w:p>
      <w:pPr>
        <w:keepNext/>
        <w:spacing w:before="320" w:after="120"/>
      </w:pPr>
      <w:r>
        <w:rPr>
          <w:rFonts w:ascii="Arial" w:hAnsi="Arial"/>
          <w:b/>
          <w:color w:val="4338CA"/>
          <w:sz w:val="28"/>
        </w:rPr>
        <w:t>30. bitacora - 🛡️ Bitácora de Auditoría y Seguridad</w:t>
      </w:r>
    </w:p>
    <w:p>
      <w:pPr>
        <w:pStyle w:val="ListBullet"/>
        <w:spacing w:after="80" w:line="276" w:lineRule="auto"/>
      </w:pPr>
      <w:r>
        <w:rPr>
          <w:rFonts w:ascii="Calibri" w:hAnsi="Calibri"/>
          <w:b/>
          <w:color w:val="0F172A"/>
          <w:sz w:val="22"/>
        </w:rPr>
        <w:t>Propósito:</w:t>
      </w:r>
      <w:r>
        <w:rPr>
          <w:rFonts w:ascii="Calibri" w:hAnsi="Calibri"/>
          <w:color w:val="1E293B"/>
          <w:sz w:val="22"/>
        </w:rPr>
        <w:t xml:space="preserve"> Registro inmutable de eventos, accesos y modificaciones del sistema.</w:t>
      </w:r>
    </w:p>
    <w:p>
      <w:pPr>
        <w:pStyle w:val="ListBullet"/>
        <w:spacing w:after="80" w:line="276" w:lineRule="auto"/>
      </w:pPr>
      <w:r>
        <w:rPr>
          <w:rFonts w:ascii="Calibri" w:hAnsi="Calibri"/>
          <w:b/>
          <w:color w:val="0F172A"/>
          <w:sz w:val="22"/>
        </w:rPr>
        <w:t>Impacto en Negocio:</w:t>
      </w:r>
      <w:r>
        <w:rPr>
          <w:rFonts w:ascii="Calibri" w:hAnsi="Calibri"/>
          <w:color w:val="1E293B"/>
          <w:sz w:val="22"/>
        </w:rPr>
        <w:t xml:space="preserve"> Otorga certeza jurídica y técnica sobre quién, cuándo y qué acción realizó en la plataforma (cambios de semáforo, aclaraciones, etc.).</w:t>
      </w:r>
    </w:p>
    <w:p>
      <w:pPr>
        <w:pStyle w:val="ListBullet"/>
        <w:spacing w:after="80" w:line="276" w:lineRule="auto"/>
      </w:pPr>
      <w:r>
        <w:rPr>
          <w:rFonts w:ascii="Calibri" w:hAnsi="Calibri"/>
          <w:b/>
          <w:color w:val="0F172A"/>
          <w:sz w:val="22"/>
        </w:rPr>
        <w:t>Arquitectura Técnica:</w:t>
      </w:r>
      <w:r>
        <w:rPr>
          <w:rFonts w:ascii="Calibri" w:hAnsi="Calibri"/>
          <w:color w:val="1E293B"/>
          <w:sz w:val="22"/>
        </w:rPr>
        <w:t xml:space="preserve"> Log inmutable con marcas de tiempo UNIX, IP de origen, usuario ejecutor y detalle transaccional.</w:t>
      </w:r>
    </w:p>
    <w:p>
      <w:r>
        <w:br w:type="page"/>
      </w:r>
    </w:p>
    <w:p>
      <w:pPr>
        <w:keepNext/>
        <w:spacing w:before="440" w:after="160"/>
      </w:pPr>
      <w:r>
        <w:rPr>
          <w:rFonts w:ascii="Arial" w:hAnsi="Arial"/>
          <w:b/>
          <w:color w:val="1E3A8A"/>
          <w:sz w:val="36"/>
        </w:rPr>
        <w:t>CAPÍTULO 6: RETOS DE INGENIERÍA SUPERADOS Y SOLUCIONES TÉCNICAS</w:t>
      </w:r>
    </w:p>
    <w:p>
      <w:pPr>
        <w:keepNext/>
        <w:spacing w:before="320" w:after="120"/>
      </w:pPr>
      <w:r>
        <w:rPr>
          <w:rFonts w:ascii="Arial" w:hAnsi="Arial"/>
          <w:b/>
          <w:color w:val="4338CA"/>
          <w:sz w:val="28"/>
        </w:rPr>
        <w:t>6.1 Preservación Óptica en Digitalización de Tickets Térmicos</w:t>
      </w:r>
    </w:p>
    <w:p>
      <w:pPr>
        <w:spacing w:after="120" w:line="276" w:lineRule="auto"/>
      </w:pPr>
      <w:r>
        <w:rPr>
          <w:rFonts w:ascii="Calibri" w:hAnsi="Calibri"/>
          <w:color w:val="1E293B"/>
          <w:sz w:val="22"/>
        </w:rPr>
        <w:t>Los comprobantes emitidos por terminales de punto de venta utilizan papel térmico de bajo gramaje, el cual suele presentar texto desvanecido, arrugas o manchas. Los algoritmos convencionales de escaneo aplican binarizaciones drásticas (como Otsu o Sauvola con umbrales fijos) que eliminaban números críticos o generaban manchas negras ilegibles.</w:t>
      </w:r>
    </w:p>
    <w:p>
      <w:pPr>
        <w:spacing w:after="120" w:line="276" w:lineRule="auto"/>
      </w:pPr>
      <w:r>
        <w:rPr>
          <w:rFonts w:ascii="Calibri" w:hAnsi="Calibri"/>
          <w:color w:val="1E293B"/>
          <w:sz w:val="22"/>
        </w:rPr>
        <w:t>Solución Implementada: Se diseñó un pipeline en disa_engine.py que detecta los 4 vértices del documento para aplicar la transformación de perspectiva ortogonal, pero entrega el recorte en el espacio de color RGB nativo sin compresión destructiva, preservando la información original del sensor óptico.</w:t>
      </w:r>
    </w:p>
    <w:p>
      <w:pPr>
        <w:keepNext/>
        <w:spacing w:before="320" w:after="120"/>
      </w:pPr>
      <w:r>
        <w:rPr>
          <w:rFonts w:ascii="Arial" w:hAnsi="Arial"/>
          <w:b/>
          <w:color w:val="4338CA"/>
          <w:sz w:val="28"/>
        </w:rPr>
        <w:t>6.2 Concurrencia de Voz y Estabilidad en Windows COM</w:t>
      </w:r>
    </w:p>
    <w:p>
      <w:pPr>
        <w:spacing w:after="120" w:line="276" w:lineRule="auto"/>
      </w:pPr>
      <w:r>
        <w:rPr>
          <w:rFonts w:ascii="Calibri" w:hAnsi="Calibri"/>
          <w:color w:val="1E293B"/>
          <w:sz w:val="22"/>
        </w:rPr>
        <w:t>La biblioteca nativa SAPI (SpVoice) de Windows requiere que cada hilo que interactúa con ella inicialice el entorno de Component Object Model (COM). En versiones previas, invocar el lector de texto desde múltiples callbacks de la interfaz gráfica provocaba excepciones de violación de acceso que cerraban la aplicación.</w:t>
      </w:r>
    </w:p>
    <w:p>
      <w:pPr>
        <w:spacing w:after="120" w:line="276" w:lineRule="auto"/>
      </w:pPr>
      <w:r>
        <w:rPr>
          <w:rFonts w:ascii="Calibri" w:hAnsi="Calibri"/>
          <w:color w:val="1E293B"/>
          <w:sz w:val="22"/>
        </w:rPr>
        <w:t>Solución Implementada: Se encapsuló la llamada a la síntesis en subprocesos con llamadas explícitas a pythoncom.CoInitialize() al iniciar y pythoncom.CoUninitialize() en el bloque finally, logrando un 100% de estabilidad en entornos concurrentes.</w:t>
      </w:r>
    </w:p>
    <w:p>
      <w:pPr>
        <w:keepNext/>
        <w:spacing w:before="320" w:after="120"/>
      </w:pPr>
      <w:r>
        <w:rPr>
          <w:rFonts w:ascii="Arial" w:hAnsi="Arial"/>
          <w:b/>
          <w:color w:val="4338CA"/>
          <w:sz w:val="28"/>
        </w:rPr>
        <w:t>6.3 Calendario Semáforo Personalizado en Flet</w:t>
      </w:r>
    </w:p>
    <w:p>
      <w:pPr>
        <w:spacing w:after="120" w:line="276" w:lineRule="auto"/>
      </w:pPr>
      <w:r>
        <w:rPr>
          <w:rFonts w:ascii="Calibri" w:hAnsi="Calibri"/>
          <w:color w:val="1E293B"/>
          <w:sz w:val="22"/>
        </w:rPr>
        <w:t>El selector nativo DatePicker de Flutter no permitía personalizar los colores de fondo de días individuales en base a su estatus contable, ni contaba con localización completa al español.</w:t>
      </w:r>
    </w:p>
    <w:p>
      <w:pPr>
        <w:spacing w:after="120" w:line="276" w:lineRule="auto"/>
      </w:pPr>
      <w:r>
        <w:rPr>
          <w:rFonts w:ascii="Calibri" w:hAnsi="Calibri"/>
          <w:color w:val="1E293B"/>
          <w:sz w:val="22"/>
        </w:rPr>
        <w:t>Solución Implementada: Se construyó desde cero un componente modal reactivo basado en calendar.monthcalendar, que evalúa en tiempo real el diccionario disa_status.json para pintar cada día en Verde (#00C853), Amarillo (#F59E0B), Rojo (#D32F2F) o Cian (#00FFFF).</w:t>
      </w:r>
    </w:p>
    <w:p>
      <w:pPr>
        <w:keepNext/>
        <w:spacing w:before="440" w:after="160"/>
      </w:pPr>
      <w:r>
        <w:rPr>
          <w:rFonts w:ascii="Arial" w:hAnsi="Arial"/>
          <w:b/>
          <w:color w:val="1E3A8A"/>
          <w:sz w:val="36"/>
        </w:rPr>
        <w:t>CAPÍTULO 7: ESTRATEGIA DE MIGRACIÓN CLOUD Y ESCALABILIDAD MASIVA</w:t>
      </w:r>
    </w:p>
    <w:p>
      <w:pPr>
        <w:spacing w:after="120" w:line="276" w:lineRule="auto"/>
      </w:pPr>
      <w:r>
        <w:rPr>
          <w:rFonts w:ascii="Calibri" w:hAnsi="Calibri"/>
          <w:color w:val="1E293B"/>
          <w:sz w:val="22"/>
        </w:rPr>
        <w:t>Para acompañar la expansión de la cadena a nivel nacional y regional (LATAM), se ha diseñado la siguiente hoja de ruta de escalamiento de infraestructura:</w:t>
      </w:r>
    </w:p>
    <w:p>
      <w:pPr>
        <w:pStyle w:val="ListBullet"/>
        <w:spacing w:after="80" w:line="276" w:lineRule="auto"/>
      </w:pPr>
      <w:r>
        <w:rPr>
          <w:rFonts w:ascii="Calibri" w:hAnsi="Calibri"/>
          <w:b/>
          <w:color w:val="0F172A"/>
          <w:sz w:val="22"/>
        </w:rPr>
        <w:t>Base de Datos en la Nube:</w:t>
      </w:r>
      <w:r>
        <w:rPr>
          <w:rFonts w:ascii="Calibri" w:hAnsi="Calibri"/>
          <w:color w:val="1E293B"/>
          <w:sz w:val="22"/>
        </w:rPr>
        <w:t xml:space="preserve"> Transición de MySQL 8.0 local a Amazon Aurora PostgreSQL / Google Cloud SQL con réplicas de lectura por región geográfica para latencias inferiores a 20ms.</w:t>
      </w:r>
    </w:p>
    <w:p>
      <w:pPr>
        <w:pStyle w:val="ListBullet"/>
        <w:spacing w:after="80" w:line="276" w:lineRule="auto"/>
      </w:pPr>
      <w:r>
        <w:rPr>
          <w:rFonts w:ascii="Calibri" w:hAnsi="Calibri"/>
          <w:b/>
          <w:color w:val="0F172A"/>
          <w:sz w:val="22"/>
        </w:rPr>
        <w:t>Almacenamiento de Objetos (S3):</w:t>
      </w:r>
      <w:r>
        <w:rPr>
          <w:rFonts w:ascii="Calibri" w:hAnsi="Calibri"/>
          <w:color w:val="1E293B"/>
          <w:sz w:val="22"/>
        </w:rPr>
        <w:t xml:space="preserve"> Almacenamiento de fotos de DiSA y campañas en Amazon S3 / Google Cloud Storage con CDN Cloudflare y políticas de ciclo de vida para archivo en Glacier tras 1 año.</w:t>
      </w:r>
    </w:p>
    <w:p>
      <w:pPr>
        <w:pStyle w:val="ListBullet"/>
        <w:spacing w:after="80" w:line="276" w:lineRule="auto"/>
      </w:pPr>
      <w:r>
        <w:rPr>
          <w:rFonts w:ascii="Calibri" w:hAnsi="Calibri"/>
          <w:b/>
          <w:color w:val="0F172A"/>
          <w:sz w:val="22"/>
        </w:rPr>
        <w:t>Contenerización con Docker y K8s:</w:t>
      </w:r>
      <w:r>
        <w:rPr>
          <w:rFonts w:ascii="Calibri" w:hAnsi="Calibri"/>
          <w:color w:val="1E293B"/>
          <w:sz w:val="22"/>
        </w:rPr>
        <w:t xml:space="preserve"> Despliegue de los microservicios FastAPI en contenedores Docker orquestados con Kubernetes (EKS / GKE) con auto-escalado horizontal basado en carga.</w:t>
      </w:r>
    </w:p>
    <w:p>
      <w:pPr>
        <w:pStyle w:val="ListBullet"/>
        <w:spacing w:after="80" w:line="276" w:lineRule="auto"/>
      </w:pPr>
      <w:r>
        <w:rPr>
          <w:rFonts w:ascii="Calibri" w:hAnsi="Calibri"/>
          <w:b/>
          <w:color w:val="0F172A"/>
          <w:sz w:val="22"/>
        </w:rPr>
        <w:t>Integración con ERPs Corporativos:</w:t>
      </w:r>
      <w:r>
        <w:rPr>
          <w:rFonts w:ascii="Calibri" w:hAnsi="Calibri"/>
          <w:color w:val="1E293B"/>
          <w:sz w:val="22"/>
        </w:rPr>
        <w:t xml:space="preserve"> Integración bidireccional mediante APIs seguras para sincronizar ventas directamente con SAP Retail, Oracle NetSuite y Cegid POS.</w:t>
      </w:r>
    </w:p>
    <w:p>
      <w:pPr>
        <w:keepNext/>
        <w:spacing w:before="440" w:after="160"/>
      </w:pPr>
      <w:r>
        <w:rPr>
          <w:rFonts w:ascii="Arial" w:hAnsi="Arial"/>
          <w:b/>
          <w:color w:val="1E3A8A"/>
          <w:sz w:val="36"/>
        </w:rPr>
        <w:t>CAPÍTULO 8: ROADMAP DE INNOVACIÓN CON GOOGLE GEMINI MULTIMODAL</w:t>
      </w:r>
    </w:p>
    <w:p>
      <w:pPr>
        <w:keepNext/>
        <w:spacing w:before="320" w:after="120"/>
      </w:pPr>
      <w:r>
        <w:rPr>
          <w:rFonts w:ascii="Arial" w:hAnsi="Arial"/>
          <w:b/>
          <w:color w:val="4338CA"/>
          <w:sz w:val="28"/>
        </w:rPr>
        <w:t>8.1 Gemini 1.5 Vision API para Auditoría Contable Automatizada en DiSA</w:t>
      </w:r>
    </w:p>
    <w:p>
      <w:pPr>
        <w:spacing w:after="120" w:line="276" w:lineRule="auto"/>
      </w:pPr>
      <w:r>
        <w:rPr>
          <w:rFonts w:ascii="Calibri" w:hAnsi="Calibri"/>
          <w:color w:val="1E293B"/>
          <w:sz w:val="22"/>
        </w:rPr>
        <w:t>La integración de la API Gemini 1.5 Vision transformará el módulo DiSA en un auditor contable autónomo:</w:t>
      </w:r>
    </w:p>
    <w:p>
      <w:pPr>
        <w:pStyle w:val="ListBullet"/>
        <w:spacing w:after="80" w:line="276" w:lineRule="auto"/>
      </w:pPr>
      <w:r>
        <w:rPr>
          <w:rFonts w:ascii="Calibri" w:hAnsi="Calibri"/>
          <w:b/>
          <w:color w:val="0F172A"/>
          <w:sz w:val="22"/>
        </w:rPr>
        <w:t>1. Extracción de Importes del Corte Z:</w:t>
      </w:r>
      <w:r>
        <w:rPr>
          <w:rFonts w:ascii="Calibri" w:hAnsi="Calibri"/>
          <w:color w:val="1E293B"/>
          <w:sz w:val="22"/>
        </w:rPr>
        <w:t xml:space="preserve"> La IA lee el Corte Z y extrae con precisión matemática el total cobrado en Efectivo, Tarjetas Bancarias y Vales.</w:t>
      </w:r>
    </w:p>
    <w:p>
      <w:pPr>
        <w:pStyle w:val="ListBullet"/>
        <w:spacing w:after="80" w:line="276" w:lineRule="auto"/>
      </w:pPr>
      <w:r>
        <w:rPr>
          <w:rFonts w:ascii="Calibri" w:hAnsi="Calibri"/>
          <w:b/>
          <w:color w:val="0F172A"/>
          <w:sz w:val="22"/>
        </w:rPr>
        <w:t>2. Cruce Automático con Ficha Panamericano:</w:t>
      </w:r>
      <w:r>
        <w:rPr>
          <w:rFonts w:ascii="Calibri" w:hAnsi="Calibri"/>
          <w:color w:val="1E293B"/>
          <w:sz w:val="22"/>
        </w:rPr>
        <w:t xml:space="preserve"> Si existe cobro en efectivo &gt; $0, la IA busca la fotografía de la ficha de Panamericano, lee el importe depositado y verifica que coincida exactamente con el Corte Z.</w:t>
      </w:r>
    </w:p>
    <w:p>
      <w:pPr>
        <w:pStyle w:val="ListBullet"/>
        <w:spacing w:after="80" w:line="276" w:lineRule="auto"/>
      </w:pPr>
      <w:r>
        <w:rPr>
          <w:rFonts w:ascii="Calibri" w:hAnsi="Calibri"/>
          <w:b/>
          <w:color w:val="0F172A"/>
          <w:sz w:val="22"/>
        </w:rPr>
        <w:t>3. Detección Inteligente de Faltantes:</w:t>
      </w:r>
      <w:r>
        <w:rPr>
          <w:rFonts w:ascii="Calibri" w:hAnsi="Calibri"/>
          <w:color w:val="1E293B"/>
          <w:sz w:val="22"/>
        </w:rPr>
        <w:t xml:space="preserve"> Si falta la ficha o el importe no cuadra, el sistema pinta el día en Amarillo automáticamente, escribe el motivo exacto en la tarjeta de observaciones y notifica al Gerente de Tienda.</w:t>
      </w:r>
    </w:p>
    <w:p>
      <w:pPr>
        <w:pStyle w:val="ListBullet"/>
        <w:spacing w:after="80" w:line="276" w:lineRule="auto"/>
      </w:pPr>
      <w:r>
        <w:rPr>
          <w:rFonts w:ascii="Calibri" w:hAnsi="Calibri"/>
          <w:b/>
          <w:color w:val="0F172A"/>
          <w:sz w:val="22"/>
        </w:rPr>
        <w:t>4. Verificación de Firmas y Sellos:</w:t>
      </w:r>
      <w:r>
        <w:rPr>
          <w:rFonts w:ascii="Calibri" w:hAnsi="Calibri"/>
          <w:color w:val="1E293B"/>
          <w:sz w:val="22"/>
        </w:rPr>
        <w:t xml:space="preserve"> Valida que los vouchers y tickets de venta contengan el sello físico de tienda y la firma autógrafa del cliente.</w:t>
      </w:r>
    </w:p>
    <w:p>
      <w:pPr>
        <w:keepNext/>
        <w:spacing w:before="320" w:after="120"/>
      </w:pPr>
      <w:r>
        <w:rPr>
          <w:rFonts w:ascii="Arial" w:hAnsi="Arial"/>
          <w:b/>
          <w:color w:val="4338CA"/>
          <w:sz w:val="28"/>
        </w:rPr>
        <w:t>8.2 Gemini 1.5 Vision API para Auditoría Visual de Campañas POP</w:t>
      </w:r>
    </w:p>
    <w:p>
      <w:pPr>
        <w:spacing w:after="120" w:line="276" w:lineRule="auto"/>
      </w:pPr>
      <w:r>
        <w:rPr>
          <w:rFonts w:ascii="Calibri" w:hAnsi="Calibri"/>
          <w:color w:val="1E293B"/>
          <w:sz w:val="22"/>
        </w:rPr>
        <w:t>Al subir la fotografía de la vitrina en el Módulo de Campañas, Gemini Vision compara la imagen contra el planograma oficial de la marca (Ray-Ban, Oakley, Prada), verificando la correcta colocación de banners, stoppers y posición de armazones, calificando el montaje de 0 a 100 y aprobando la entrega sin requerir revisión manual humana.</w:t>
      </w:r>
    </w:p>
    <w:p>
      <w:pPr>
        <w:keepNext/>
        <w:spacing w:before="320" w:after="120"/>
      </w:pPr>
      <w:r>
        <w:rPr>
          <w:rFonts w:ascii="Arial" w:hAnsi="Arial"/>
          <w:b/>
          <w:color w:val="4338CA"/>
          <w:sz w:val="28"/>
        </w:rPr>
        <w:t>8.3 Gemini Multimodal Live API para el Simulador de Ventas por Voz</w:t>
      </w:r>
    </w:p>
    <w:p>
      <w:pPr>
        <w:spacing w:after="120" w:line="276" w:lineRule="auto"/>
      </w:pPr>
      <w:r>
        <w:rPr>
          <w:rFonts w:ascii="Calibri" w:hAnsi="Calibri"/>
          <w:color w:val="1E293B"/>
          <w:sz w:val="22"/>
        </w:rPr>
        <w:t>Implementación de canales de audio bidireccionales de ultra-baja latencia (&lt;400ms) para que el asesor comercial converse de manera 100% natural y fluida con clientes virtuales simulados, recibiendo coaching de técnicas de venta en tiempo real.</w:t>
      </w:r>
    </w:p>
    <w:p>
      <w:pPr>
        <w:keepNext/>
        <w:spacing w:before="320" w:after="120"/>
      </w:pPr>
      <w:r>
        <w:rPr>
          <w:rFonts w:ascii="Arial" w:hAnsi="Arial"/>
          <w:b/>
          <w:color w:val="4338CA"/>
          <w:sz w:val="28"/>
        </w:rPr>
        <w:t>8.4 Reestructuración del Motor RAG (Chunking Semántico Jerárquico)</w:t>
      </w:r>
    </w:p>
    <w:p>
      <w:pPr>
        <w:spacing w:after="120" w:line="276" w:lineRule="auto"/>
      </w:pPr>
      <w:r>
        <w:rPr>
          <w:rFonts w:ascii="Calibri" w:hAnsi="Calibri"/>
          <w:color w:val="1E293B"/>
          <w:sz w:val="22"/>
        </w:rPr>
        <w:t>Para resolver definitivamente el solapamiento de información (donde fragmentos de historia empresarial aparecían junto a políticas de cambio), se implementará segmentación semántica estructurada por temas y un paso de síntesis inteligente con Gemini, entregando respuestas redactadas en formato de guía paso a paso.</w:t>
      </w:r>
    </w:p>
    <w:p>
      <w:pPr>
        <w:keepNext/>
        <w:spacing w:before="440" w:after="160"/>
      </w:pPr>
      <w:r>
        <w:rPr>
          <w:rFonts w:ascii="Arial" w:hAnsi="Arial"/>
          <w:b/>
          <w:color w:val="1E3A8A"/>
          <w:sz w:val="36"/>
        </w:rPr>
        <w:t>CAPÍTULO 9: SEGURIDAD, COMPLIANCE REGULATORIO Y RESPALDO</w:t>
      </w:r>
    </w:p>
    <w:p>
      <w:pPr>
        <w:pStyle w:val="ListBullet"/>
        <w:spacing w:after="80" w:line="276" w:lineRule="auto"/>
      </w:pPr>
      <w:r>
        <w:rPr>
          <w:rFonts w:ascii="Calibri" w:hAnsi="Calibri"/>
          <w:b/>
          <w:color w:val="0F172A"/>
          <w:sz w:val="22"/>
        </w:rPr>
        <w:t>Protección de Datos:</w:t>
      </w:r>
      <w:r>
        <w:rPr>
          <w:rFonts w:ascii="Calibri" w:hAnsi="Calibri"/>
          <w:color w:val="1E293B"/>
          <w:sz w:val="22"/>
        </w:rPr>
        <w:t xml:space="preserve"> Cumplimiento estricto de la Ley Federal de Protección de Datos Personales en Posesión de los Particulares (LFPDPPP) y estándares GDPR en el módulo CRM.</w:t>
      </w:r>
    </w:p>
    <w:p>
      <w:pPr>
        <w:pStyle w:val="ListBullet"/>
        <w:spacing w:after="80" w:line="276" w:lineRule="auto"/>
      </w:pPr>
      <w:r>
        <w:rPr>
          <w:rFonts w:ascii="Calibri" w:hAnsi="Calibri"/>
          <w:b/>
          <w:color w:val="0F172A"/>
          <w:sz w:val="22"/>
        </w:rPr>
        <w:t>Cifrado de Extremo a Extremo:</w:t>
      </w:r>
      <w:r>
        <w:rPr>
          <w:rFonts w:ascii="Calibri" w:hAnsi="Calibri"/>
          <w:color w:val="1E293B"/>
          <w:sz w:val="22"/>
        </w:rPr>
        <w:t xml:space="preserve"> Cifrado en tránsito mediante TLS 1.3 y cifrado en reposo (AES-256) para base de datos y archivos de comprobación contable.</w:t>
      </w:r>
    </w:p>
    <w:p>
      <w:pPr>
        <w:pStyle w:val="ListBullet"/>
        <w:spacing w:after="80" w:line="276" w:lineRule="auto"/>
      </w:pPr>
      <w:r>
        <w:rPr>
          <w:rFonts w:ascii="Calibri" w:hAnsi="Calibri"/>
          <w:b/>
          <w:color w:val="0F172A"/>
          <w:sz w:val="22"/>
        </w:rPr>
        <w:t>Plan de Recuperación ante Desastres (DRP):</w:t>
      </w:r>
      <w:r>
        <w:rPr>
          <w:rFonts w:ascii="Calibri" w:hAnsi="Calibri"/>
          <w:color w:val="1E293B"/>
          <w:sz w:val="22"/>
        </w:rPr>
        <w:t xml:space="preserve"> Respaldo diario automatizado de la base de datos MySQL y duplicación de la carpeta uploads/disa_cortes/ en almacenamiento secundario fuera de sitio.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