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685"/>
        <w:tblInd w:w="0" w:type="dxa"/>
        <w:tblW w:w="11120" w:type="dxa"/>
        <w:tblBorders/>
        <w:tblLayout w:type="fixed"/>
        <w:tblpPr w:horzAnchor="text" w:tblpX="-1080" w:vertAnchor="text" w:tblpY="272" w:leftFromText="181" w:topFromText="11" w:rightFromText="180" w:bottomFromText="0"/>
        <w:tblLook w:val="0600" w:firstRow="0" w:lastRow="0" w:firstColumn="0" w:lastColumn="0" w:noHBand="1" w:noVBand="1"/>
      </w:tblPr>
      <w:tblGrid>
        <w:gridCol w:w="8711"/>
        <w:gridCol w:w="2409"/>
        <w:tblGridChange w:id="0">
          <w:tblGrid>
            <w:gridCol w:w="6570"/>
            <w:gridCol w:w="4485"/>
          </w:tblGrid>
        </w:tblGridChange>
      </w:tblGrid>
      <w:tr>
        <w:trPr>
          <w:cantSplit/>
          <w:trHeight w:val="864"/>
        </w:trPr>
        <w:tc>
          <w:tcPr>
            <w:tcBorders>
              <w:bottom w:val="none" w:color="000000" w:sz="0" w:space="0"/>
            </w:tcBorders>
          </w:tcPr>
          <w:p w14:paraId="00000003">
            <w:pPr>
              <w:keepLines w:val="true"/>
              <w:widowControl w:val="false"/>
              <w:pBdr/>
              <w:spacing w:before="0" w:line="240" w:lineRule="auto"/>
              <w:ind w:firstLine="0" w:left="0"/>
              <w:rPr>
                <w:color w:val="434343"/>
                <w:sz w:val="32"/>
                <w:szCs w:val="32"/>
              </w:rPr>
            </w:pPr>
            <w:r>
              <w:rPr>
                <w:b/>
                <w:bCs/>
                <w:color w:val="434343"/>
                <w:sz w:val="40"/>
                <w:szCs w:val="40"/>
                <w:rtl w:val="0"/>
              </w:rPr>
              <w:t xml:space="preserve">FRANCISCO CARDOSO</w:t>
            </w:r>
            <w:r>
              <w:rPr>
                <w:rtl w:val="0"/>
              </w:rPr>
            </w:r>
            <w:r>
              <w:rPr>
                <w:color w:val="434343"/>
                <w:sz w:val="32"/>
                <w:szCs w:val="32"/>
              </w:rPr>
            </w:r>
          </w:p>
          <w:p w14:paraId="00000004">
            <w:pPr>
              <w:keepLines w:val="true"/>
              <w:widowControl w:val="false"/>
              <w:pBdr/>
              <w:spacing w:before="0" w:line="240" w:lineRule="auto"/>
              <w:ind w:firstLine="0" w:left="0"/>
              <w:rPr>
                <w:b/>
                <w:bCs/>
                <w:color w:val="434343"/>
                <w:sz w:val="26"/>
                <w:szCs w:val="26"/>
              </w:rPr>
            </w:pPr>
            <w:r/>
            <w:hyperlink r:id="rId9" w:tooltip="mailto:ffmcardoso@gmail.com" w:history="1">
              <w:r>
                <w:rPr>
                  <w:color w:val="434343"/>
                  <w:sz w:val="22"/>
                  <w:szCs w:val="22"/>
                  <w:u w:val="single"/>
                  <w:rtl w:val="0"/>
                </w:rPr>
                <w:t xml:space="preserve">ffmcardoso@gmail.com</w:t>
              </w:r>
            </w:hyperlink>
            <w:r>
              <w:rPr>
                <w:color w:val="434343"/>
                <w:sz w:val="22"/>
                <w:szCs w:val="22"/>
                <w:rtl w:val="0"/>
              </w:rPr>
              <w:t xml:space="preserve"> | </w:t>
            </w:r>
            <w:hyperlink r:id="rId10" w:tooltip="https://franciscocardoso.eu/" w:history="1">
              <w:r>
                <w:rPr>
                  <w:color w:val="434343"/>
                  <w:sz w:val="22"/>
                  <w:szCs w:val="22"/>
                  <w:u w:val="single"/>
                  <w:rtl w:val="0"/>
                  <w:lang w:val="undefined"/>
                </w:rPr>
                <w:t xml:space="preserve">franciscocardo</w:t>
              </w:r>
              <w:r>
                <w:rPr>
                  <w:color w:val="434343"/>
                  <w:sz w:val="22"/>
                  <w:szCs w:val="22"/>
                  <w:u w:val="single"/>
                  <w:rtl w:val="0"/>
                </w:rPr>
                <w:t xml:space="preserve">so</w:t>
              </w:r>
              <w:r>
                <w:rPr>
                  <w:color w:val="434343"/>
                  <w:sz w:val="22"/>
                  <w:szCs w:val="22"/>
                  <w:u w:val="single"/>
                  <w:rtl w:val="0"/>
                  <w:lang w:val="undefined"/>
                </w:rPr>
                <w:t xml:space="preserve">.e</w:t>
              </w:r>
              <w:r>
                <w:rPr>
                  <w:color w:val="434343"/>
                  <w:sz w:val="22"/>
                  <w:szCs w:val="22"/>
                  <w:u w:val="single"/>
                  <w:rtl w:val="0"/>
                  <w:lang w:val="undefined"/>
                </w:rPr>
                <w:t xml:space="preserve">u</w:t>
              </w:r>
            </w:hyperlink>
            <w:r>
              <w:rPr>
                <w:color w:val="000000" w:themeColor="text1"/>
                <w:sz w:val="22"/>
                <w:szCs w:val="22"/>
                <w:rtl w:val="0"/>
              </w:rPr>
              <w:t xml:space="preserve"> </w:t>
            </w:r>
            <w:r>
              <w:rPr>
                <w:color w:val="434343"/>
                <w:sz w:val="22"/>
                <w:szCs w:val="22"/>
                <w:rtl w:val="0"/>
              </w:rPr>
              <w:t xml:space="preserve">| +34 634 92 73 92 | Madrid, Spain</w:t>
            </w:r>
            <w:r>
              <w:rPr>
                <w:rtl w:val="0"/>
              </w:rPr>
            </w:r>
            <w:r>
              <w:rPr>
                <w:b/>
                <w:bCs/>
                <w:color w:val="434343"/>
                <w:sz w:val="26"/>
                <w:szCs w:val="26"/>
              </w:rPr>
            </w:r>
          </w:p>
        </w:tc>
        <w:tc>
          <w:tcPr>
            <w:tcBorders>
              <w:bottom w:val="none" w:color="000000" w:sz="0" w:space="0"/>
            </w:tcBorders>
          </w:tcPr>
          <w:p w14:paraId="00000005">
            <w:pPr>
              <w:widowControl w:val="false"/>
              <w:pBdr/>
              <w:spacing w:before="0" w:line="240" w:lineRule="auto"/>
              <w:ind w:firstLine="0" w:left="0"/>
              <w:rPr>
                <w:b/>
                <w:bCs/>
                <w:color w:val="434343"/>
                <w:sz w:val="28"/>
                <w:szCs w:val="28"/>
              </w:rPr>
            </w:pPr>
            <w:r>
              <w:rPr>
                <w:rtl w:val="0"/>
              </w:rPr>
            </w:r>
            <w:r>
              <w:rPr>
                <w:b/>
                <w:bCs/>
                <w:color w:val="434343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>
              <w:bottom w:val="none" w:color="000000" w:sz="0" w:space="0"/>
            </w:tcBorders>
          </w:tcPr>
          <w:p w14:paraId="00000006">
            <w:pPr>
              <w:keepLines w:val="true"/>
              <w:widowControl w:val="false"/>
              <w:pBdr/>
              <w:spacing w:before="0" w:line="240" w:lineRule="auto"/>
              <w:ind w:firstLine="0" w:left="0"/>
              <w:rPr>
                <w:b/>
                <w:bCs/>
                <w:color w:val="434343"/>
                <w:sz w:val="20"/>
                <w:szCs w:val="20"/>
              </w:rPr>
            </w:pPr>
            <w:r>
              <w:rPr>
                <w:b/>
                <w:bCs/>
                <w:color w:val="434343"/>
                <w:rtl w:val="0"/>
              </w:rPr>
              <w:t xml:space="preserve">WORK EXPERIENCE</w:t>
            </w:r>
            <w:r>
              <w:rPr>
                <w:rtl w:val="0"/>
              </w:rPr>
            </w:r>
            <w:r>
              <w:rPr>
                <w:b/>
                <w:bCs/>
                <w:color w:val="434343"/>
                <w:sz w:val="20"/>
                <w:szCs w:val="20"/>
              </w:rPr>
            </w:r>
          </w:p>
        </w:tc>
        <w:tc>
          <w:tcPr>
            <w:tcBorders>
              <w:bottom w:val="none" w:color="000000" w:sz="0" w:space="0"/>
            </w:tcBorders>
          </w:tcPr>
          <w:p w14:paraId="00000007">
            <w:pPr>
              <w:widowControl w:val="false"/>
              <w:pBdr/>
              <w:spacing w:before="0" w:line="240" w:lineRule="auto"/>
              <w:ind w:firstLine="0" w:left="0"/>
              <w:rPr>
                <w:b/>
                <w:bCs/>
                <w:color w:val="434343"/>
                <w:sz w:val="28"/>
                <w:szCs w:val="28"/>
              </w:rPr>
            </w:pPr>
            <w:r>
              <w:rPr>
                <w:rtl w:val="0"/>
              </w:rPr>
            </w:r>
            <w:r>
              <w:rPr>
                <w:b/>
                <w:bCs/>
                <w:color w:val="434343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none" w:color="000000" w:sz="0" w:space="0"/>
              <w:bottom w:val="none" w:color="000000" w:sz="0" w:space="0"/>
            </w:tcBorders>
          </w:tcPr>
          <w:p w14:paraId="20000001">
            <w:pPr>
              <w:widowControl w:val="false"/>
              <w:pBdr/>
              <w:spacing w:before="0" w:line="240" w:lineRule="auto"/>
              <w:ind w:firstLine="0" w:left="0"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BlueYonder</w:t>
            </w:r>
            <w:r>
              <w:rPr>
                <w:color w:val="434343"/>
                <w:sz w:val="22"/>
                <w:szCs w:val="22"/>
              </w:rPr>
            </w:r>
          </w:p>
          <w:p w14:paraId="20000002">
            <w:pPr>
              <w:widowControl w:val="false"/>
              <w:pBdr/>
              <w:spacing w:before="0" w:line="240" w:lineRule="auto"/>
              <w:ind w:firstLine="0" w:left="0"/>
              <w:rPr>
                <w:b/>
                <w:bCs/>
                <w:color w:val="434343"/>
                <w:sz w:val="22"/>
                <w:szCs w:val="22"/>
              </w:rPr>
            </w:pPr>
            <w:r>
              <w:rPr>
                <w:b/>
                <w:bCs/>
                <w:color w:val="434343"/>
                <w:sz w:val="22"/>
                <w:szCs w:val="22"/>
                <w:rtl w:val="0"/>
              </w:rPr>
              <w:t xml:space="preserve">Senior Business Analyst Advisor </w:t>
            </w:r>
            <w:r>
              <w:rPr>
                <w:color w:val="434343"/>
                <w:sz w:val="22"/>
                <w:szCs w:val="22"/>
                <w:rtl w:val="0"/>
              </w:rPr>
              <w:t xml:space="preserve">- Apr 2025 to Present</w:t>
            </w:r>
            <w:r>
              <w:rPr>
                <w:rtl w:val="0"/>
              </w:rPr>
            </w:r>
            <w:r>
              <w:rPr>
                <w:b/>
                <w:bCs/>
                <w:color w:val="434343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bottom w:val="none" w:color="000000" w:sz="0" w:space="0"/>
            </w:tcBorders>
          </w:tcPr>
          <w:p w14:paraId="20000003">
            <w:pPr>
              <w:widowControl w:val="false"/>
              <w:pBdr/>
              <w:spacing w:before="0" w:line="240" w:lineRule="auto"/>
              <w:ind w:firstLine="0" w:left="0"/>
              <w:jc w:val="right"/>
              <w:rPr>
                <w:color w:val="434343"/>
                <w:sz w:val="22"/>
                <w:szCs w:val="22"/>
              </w:rPr>
            </w:pPr>
            <w:r>
              <w:rPr>
                <w:rtl w:val="0"/>
              </w:rPr>
            </w:r>
            <w:r>
              <w:rPr>
                <w:color w:val="434343"/>
                <w:sz w:val="22"/>
                <w:szCs w:val="22"/>
              </w:rPr>
            </w:r>
          </w:p>
          <w:p w14:paraId="20000004">
            <w:pPr>
              <w:widowControl w:val="false"/>
              <w:pBdr/>
              <w:spacing w:before="0" w:line="240" w:lineRule="auto"/>
              <w:ind w:firstLine="0" w:left="0"/>
              <w:jc w:val="right"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Madrid</w:t>
            </w:r>
            <w:r>
              <w:rPr>
                <w:color w:val="434343"/>
                <w:sz w:val="22"/>
                <w:szCs w:val="22"/>
              </w:rPr>
            </w:r>
          </w:p>
        </w:tc>
      </w:tr>
      <w:tr>
        <w:trPr>
          <w:cantSplit w:val="false"/>
          <w:trHeight w:val="440"/>
        </w:trPr>
        <w:tc>
          <w:tcPr>
            <w:gridSpan w:val="2"/>
            <w:tcBorders>
              <w:bottom w:val="none" w:color="000000" w:sz="0" w:space="0"/>
            </w:tcBorders>
          </w:tcPr>
          <w:p w14:paraId="20000005">
            <w:pPr>
              <w:pStyle w:val="165"/>
              <w:widowControl w:val="false"/>
              <w:numPr>
                <w:ilvl w:val="0"/>
                <w:numId w:val="4"/>
              </w:numPr>
              <w:pBdr/>
              <w:spacing w:before="0" w:line="252" w:lineRule="auto"/>
              <w:ind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Designed and built a next-gen Data Portal end-to-end as a Flask application on Databricks with personalization capabilities to show dashboards and semantic models to thousands of internal users.</w:t>
            </w:r>
            <w:r>
              <w:rPr>
                <w:color w:val="434343"/>
                <w:sz w:val="22"/>
                <w:szCs w:val="22"/>
              </w:rPr>
            </w:r>
          </w:p>
          <w:p w14:paraId="20000006">
            <w:pPr>
              <w:pStyle w:val="165"/>
              <w:widowControl w:val="false"/>
              <w:numPr>
                <w:ilvl w:val="0"/>
                <w:numId w:val="4"/>
              </w:numPr>
              <w:pBdr/>
              <w:spacing w:before="0" w:line="252" w:lineRule="auto"/>
              <w:ind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Engineered a fully automated ingestion pipeline using Python, GitHub Actions, ingesting AtScale metadata that publishes and updates every new dashboard and semantic model on the portal.</w:t>
            </w:r>
            <w:r>
              <w:rPr>
                <w:color w:val="434343"/>
                <w:sz w:val="22"/>
                <w:szCs w:val="22"/>
              </w:rPr>
            </w:r>
          </w:p>
          <w:p w14:paraId="20000008">
            <w:pPr>
              <w:pStyle w:val="165"/>
              <w:widowControl w:val="false"/>
              <w:numPr>
                <w:ilvl w:val="0"/>
                <w:numId w:val="4"/>
              </w:numPr>
              <w:pBdr/>
              <w:spacing w:before="0" w:line="252" w:lineRule="auto"/>
              <w:ind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Provided data solutions to marketing leads and their team of around 70, unifying scattered Salesforce campaign data into a single solution making tactic performance and pipeline revenue impact measurable</w:t>
            </w:r>
            <w:r>
              <w:rPr>
                <w:color w:val="434343"/>
                <w:sz w:val="22"/>
                <w:szCs w:val="22"/>
              </w:rPr>
            </w:r>
          </w:p>
          <w:p w14:paraId="20000009">
            <w:pPr>
              <w:pStyle w:val="165"/>
              <w:widowControl w:val="false"/>
              <w:numPr>
                <w:ilvl w:val="0"/>
                <w:numId w:val="4"/>
              </w:numPr>
              <w:pBdr/>
              <w:spacing w:before="0" w:line="252" w:lineRule="auto"/>
              <w:ind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Led the rollout of new data visualization guidelines across the organization, raising the clarity standard for all BI deliverables.</w:t>
            </w:r>
            <w:r>
              <w:rPr>
                <w:color w:val="434343"/>
                <w:sz w:val="22"/>
                <w:szCs w:val="22"/>
              </w:rPr>
            </w:r>
          </w:p>
        </w:tc>
      </w:tr>
      <w:tr>
        <w:trPr>
          <w:cantSplit/>
        </w:trPr>
        <w:tc>
          <w:tcPr>
            <w:shd w:val="clear" w:color="auto" w:fill="ffffff"/>
            <w:tcBorders>
              <w:top w:val="none" w:color="000000" w:sz="0" w:space="0"/>
              <w:bottom w:val="none" w:color="000000" w:sz="0" w:space="0"/>
            </w:tcBorders>
          </w:tcPr>
          <w:p w14:paraId="00000008">
            <w:pPr>
              <w:widowControl w:val="false"/>
              <w:pBdr/>
              <w:spacing w:before="0" w:line="240" w:lineRule="auto"/>
              <w:ind w:firstLine="0" w:left="0"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Jones Lang &amp; La Salle (JLL)</w:t>
            </w:r>
            <w:r>
              <w:rPr>
                <w:color w:val="434343"/>
                <w:sz w:val="22"/>
                <w:szCs w:val="22"/>
              </w:rPr>
            </w:r>
          </w:p>
          <w:p w14:paraId="00000009">
            <w:pPr>
              <w:widowControl w:val="false"/>
              <w:pBdr/>
              <w:spacing w:before="0" w:line="240" w:lineRule="auto"/>
              <w:ind w:firstLine="0" w:left="0"/>
              <w:rPr>
                <w:b/>
                <w:bCs/>
                <w:color w:val="434343"/>
                <w:sz w:val="22"/>
                <w:szCs w:val="22"/>
              </w:rPr>
            </w:pPr>
            <w:r>
              <w:rPr>
                <w:b/>
                <w:bCs/>
                <w:color w:val="434343"/>
                <w:sz w:val="22"/>
                <w:szCs w:val="22"/>
                <w:rtl w:val="0"/>
              </w:rPr>
              <w:t xml:space="preserve">Business Intelligence Specialist </w:t>
            </w:r>
            <w:r>
              <w:rPr>
                <w:color w:val="434343"/>
                <w:sz w:val="22"/>
                <w:szCs w:val="22"/>
                <w:rtl w:val="0"/>
              </w:rPr>
              <w:t xml:space="preserve">- Aug 2024 to Apr 2025</w:t>
            </w:r>
            <w:r>
              <w:rPr>
                <w:rtl w:val="0"/>
              </w:rPr>
            </w:r>
            <w:r>
              <w:rPr>
                <w:b/>
                <w:bCs/>
                <w:color w:val="434343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bottom w:val="none" w:color="000000" w:sz="0" w:space="0"/>
            </w:tcBorders>
          </w:tcPr>
          <w:p w14:paraId="0000000A">
            <w:pPr>
              <w:widowControl w:val="false"/>
              <w:pBdr/>
              <w:spacing w:before="0" w:line="240" w:lineRule="auto"/>
              <w:ind w:firstLine="0" w:left="0"/>
              <w:jc w:val="right"/>
              <w:rPr>
                <w:color w:val="434343"/>
                <w:sz w:val="22"/>
                <w:szCs w:val="22"/>
              </w:rPr>
            </w:pPr>
            <w:r>
              <w:rPr>
                <w:rtl w:val="0"/>
              </w:rPr>
            </w:r>
            <w:r>
              <w:rPr>
                <w:color w:val="434343"/>
                <w:sz w:val="22"/>
                <w:szCs w:val="22"/>
              </w:rPr>
            </w:r>
          </w:p>
          <w:p w14:paraId="0000000B">
            <w:pPr>
              <w:widowControl w:val="false"/>
              <w:pBdr/>
              <w:spacing w:before="0" w:line="240" w:lineRule="auto"/>
              <w:ind w:firstLine="0" w:left="0"/>
              <w:jc w:val="right"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Madrid</w:t>
            </w:r>
            <w:r>
              <w:rPr>
                <w:color w:val="434343"/>
                <w:sz w:val="22"/>
                <w:szCs w:val="22"/>
              </w:rPr>
            </w:r>
          </w:p>
        </w:tc>
      </w:tr>
      <w:tr>
        <w:trPr>
          <w:cantSplit w:val="false"/>
          <w:trHeight w:val="440"/>
        </w:trPr>
        <w:tc>
          <w:tcPr>
            <w:gridSpan w:val="2"/>
            <w:tcBorders>
              <w:bottom w:val="none" w:color="000000" w:sz="0" w:space="0"/>
            </w:tcBorders>
          </w:tcPr>
          <w:p w14:paraId="0000000D">
            <w:pPr>
              <w:pStyle w:val="165"/>
              <w:widowControl w:val="false"/>
              <w:numPr>
                <w:ilvl w:val="0"/>
                <w:numId w:val="5"/>
              </w:numPr>
              <w:pBdr/>
              <w:spacing w:before="0" w:line="252" w:lineRule="auto"/>
              <w:ind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Led the development of a new Global KPI dashboard involving over 20 stakeholders, automating manual data ingestion processes, and implementing reminder email alerts, which allowed global teams to monitor their KPIs.</w:t>
            </w:r>
            <w:r>
              <w:rPr>
                <w:color w:val="434343"/>
                <w:sz w:val="22"/>
                <w:szCs w:val="22"/>
              </w:rPr>
            </w:r>
          </w:p>
          <w:p w14:paraId="0000000E">
            <w:pPr>
              <w:pStyle w:val="165"/>
              <w:widowControl w:val="false"/>
              <w:numPr>
                <w:ilvl w:val="0"/>
                <w:numId w:val="5"/>
              </w:numPr>
              <w:pBdr/>
              <w:spacing w:before="0" w:line="252" w:lineRule="auto"/>
              <w:ind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Mentored junior BI Analysts with Q&amp;A sessions, enhancing their technical and soft skills through regular guidance, boosting overall team performance.</w:t>
            </w:r>
            <w:r>
              <w:rPr>
                <w:color w:val="434343"/>
                <w:sz w:val="22"/>
                <w:szCs w:val="22"/>
              </w:rPr>
            </w:r>
          </w:p>
          <w:p w14:paraId="0000000F">
            <w:pPr>
              <w:pStyle w:val="165"/>
              <w:widowControl w:val="false"/>
              <w:numPr>
                <w:ilvl w:val="0"/>
                <w:numId w:val="5"/>
              </w:numPr>
              <w:pBdr/>
              <w:spacing w:before="0" w:line="252" w:lineRule="auto"/>
              <w:ind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Spearheaded efforts to resolve complex bugs and provided expert-level support for the most challenging BI issues, ensuring the team met their high customer service standards.</w:t>
            </w:r>
            <w:r>
              <w:rPr>
                <w:color w:val="434343"/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none" w:color="000000" w:sz="0" w:space="0"/>
              <w:bottom w:val="none" w:color="000000" w:sz="0" w:space="0"/>
            </w:tcBorders>
          </w:tcPr>
          <w:p w14:paraId="00000011">
            <w:pPr>
              <w:widowControl w:val="false"/>
              <w:pBdr/>
              <w:spacing w:before="0" w:line="240" w:lineRule="auto"/>
              <w:ind w:firstLine="0" w:left="0"/>
              <w:rPr>
                <w:color w:val="434343"/>
                <w:sz w:val="22"/>
                <w:szCs w:val="22"/>
              </w:rPr>
            </w:pPr>
            <w:r>
              <w:rPr>
                <w:b/>
                <w:bCs/>
                <w:color w:val="434343"/>
                <w:sz w:val="22"/>
                <w:szCs w:val="22"/>
                <w:rtl w:val="0"/>
              </w:rPr>
              <w:t xml:space="preserve">Senior Business Intelligence Analyst</w:t>
            </w:r>
            <w:r>
              <w:rPr>
                <w:color w:val="434343"/>
                <w:sz w:val="22"/>
                <w:szCs w:val="22"/>
                <w:rtl w:val="0"/>
              </w:rPr>
              <w:t xml:space="preserve"> -</w:t>
            </w:r>
            <w:r>
              <w:rPr>
                <w:color w:val="434343"/>
                <w:sz w:val="22"/>
                <w:szCs w:val="22"/>
                <w:rtl w:val="0"/>
              </w:rPr>
              <w:t xml:space="preserve"> Sep 2020 to Aug 2024</w:t>
            </w:r>
            <w:r>
              <w:rPr>
                <w:color w:val="434343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none" w:color="000000" w:sz="0" w:space="0"/>
              <w:bottom w:val="none" w:color="000000" w:sz="0" w:space="0"/>
            </w:tcBorders>
          </w:tcPr>
          <w:p w14:paraId="00000012">
            <w:pPr>
              <w:widowControl w:val="false"/>
              <w:pBdr/>
              <w:spacing w:before="0" w:line="240" w:lineRule="auto"/>
              <w:ind w:firstLine="0" w:left="0"/>
              <w:jc w:val="right"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Houston &amp; Madrid</w:t>
            </w:r>
            <w:r>
              <w:rPr>
                <w:color w:val="434343"/>
                <w:sz w:val="22"/>
                <w:szCs w:val="22"/>
              </w:rPr>
            </w:r>
          </w:p>
        </w:tc>
      </w:tr>
      <w:tr>
        <w:trPr>
          <w:cantSplit w:val="false"/>
          <w:trHeight w:val="440"/>
        </w:trPr>
        <w:tc>
          <w:tcPr>
            <w:gridSpan w:val="2"/>
            <w:tcBorders/>
          </w:tcPr>
          <w:p w14:paraId="00000013">
            <w:pPr>
              <w:pStyle w:val="165"/>
              <w:widowControl w:val="false"/>
              <w:numPr>
                <w:ilvl w:val="0"/>
                <w:numId w:val="6"/>
              </w:numPr>
              <w:pBdr/>
              <w:spacing w:before="0" w:line="252" w:lineRule="auto"/>
              <w:ind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Developed and implemented API connections for projects like Air Pollution, enabling the HSE to monitor air quality in client facilities which allowed Facility Managers to manage resources based on insights.</w:t>
            </w:r>
            <w:r>
              <w:rPr>
                <w:color w:val="434343"/>
                <w:sz w:val="22"/>
                <w:szCs w:val="22"/>
              </w:rPr>
            </w:r>
          </w:p>
          <w:p w14:paraId="00000014">
            <w:pPr>
              <w:pStyle w:val="165"/>
              <w:widowControl w:val="false"/>
              <w:numPr>
                <w:ilvl w:val="0"/>
                <w:numId w:val="6"/>
              </w:numPr>
              <w:pBdr/>
              <w:spacing w:before="0" w:line="252" w:lineRule="auto"/>
              <w:ind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Created an automated Tableau Server Maintenance workflow that sends weekly MS Teams alerts about stale and unused content, eliminating manual monitoring efforts.</w:t>
            </w:r>
            <w:r>
              <w:rPr>
                <w:color w:val="434343"/>
                <w:sz w:val="22"/>
                <w:szCs w:val="22"/>
              </w:rPr>
            </w:r>
          </w:p>
          <w:p w14:paraId="00000016">
            <w:pPr>
              <w:pStyle w:val="165"/>
              <w:widowControl w:val="false"/>
              <w:numPr>
                <w:ilvl w:val="0"/>
                <w:numId w:val="6"/>
              </w:numPr>
              <w:pBdr/>
              <w:spacing w:before="0" w:line="252" w:lineRule="auto"/>
              <w:ind/>
              <w:rPr>
                <w:color w:val="434343"/>
                <w:sz w:val="22"/>
                <w:szCs w:val="22"/>
                <w:u w:val="none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Developed over 30 dashboards and respective ETL workflows across a wide range of Business Services for global teams. </w:t>
            </w:r>
            <w:r>
              <w:rPr>
                <w:color w:val="434343"/>
                <w:sz w:val="22"/>
                <w:szCs w:val="22"/>
                <w:u w:val="none"/>
              </w:rPr>
            </w:r>
          </w:p>
        </w:tc>
      </w:tr>
      <w:tr>
        <w:trPr>
          <w:cantSplit w:val="false"/>
          <w:trHeight w:val="440"/>
        </w:trPr>
        <w:tc>
          <w:tcPr>
            <w:tcBorders/>
          </w:tcPr>
          <w:p w14:paraId="00000018">
            <w:pPr>
              <w:widowControl w:val="false"/>
              <w:pBdr/>
              <w:spacing w:before="0" w:line="240" w:lineRule="auto"/>
              <w:ind w:firstLine="0" w:left="0"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Cheil Worldwide for Samsung</w:t>
            </w:r>
            <w:r>
              <w:rPr>
                <w:rtl w:val="0"/>
              </w:rPr>
            </w:r>
            <w:r>
              <w:rPr>
                <w:color w:val="434343"/>
                <w:sz w:val="22"/>
                <w:szCs w:val="22"/>
              </w:rPr>
            </w:r>
          </w:p>
          <w:p w14:paraId="00000019">
            <w:pPr>
              <w:widowControl w:val="false"/>
              <w:pBdr/>
              <w:spacing w:before="0" w:line="240" w:lineRule="auto"/>
              <w:ind w:firstLine="0" w:left="0"/>
              <w:rPr>
                <w:b/>
                <w:bCs/>
                <w:color w:val="434343"/>
                <w:sz w:val="22"/>
                <w:szCs w:val="22"/>
              </w:rPr>
            </w:pPr>
            <w:r>
              <w:rPr>
                <w:b/>
                <w:bCs/>
                <w:color w:val="434343"/>
                <w:sz w:val="22"/>
                <w:szCs w:val="22"/>
                <w:rtl w:val="0"/>
              </w:rPr>
              <w:t xml:space="preserve">Digital Content and Analytics</w:t>
            </w:r>
            <w:r>
              <w:rPr>
                <w:color w:val="434343"/>
                <w:sz w:val="22"/>
                <w:szCs w:val="22"/>
                <w:rtl w:val="0"/>
              </w:rPr>
              <w:t xml:space="preserve"> -</w:t>
            </w:r>
            <w:r>
              <w:rPr>
                <w:color w:val="434343"/>
                <w:sz w:val="22"/>
                <w:szCs w:val="22"/>
                <w:rtl w:val="0"/>
              </w:rPr>
              <w:t xml:space="preserve"> Mar 2017 to Feb 2019</w:t>
            </w:r>
            <w:r>
              <w:rPr>
                <w:rtl w:val="0"/>
              </w:rPr>
            </w:r>
            <w:r>
              <w:rPr>
                <w:b/>
                <w:bCs/>
                <w:color w:val="434343"/>
                <w:sz w:val="22"/>
                <w:szCs w:val="22"/>
              </w:rPr>
            </w:r>
          </w:p>
        </w:tc>
        <w:tc>
          <w:tcPr>
            <w:tcBorders/>
          </w:tcPr>
          <w:p w14:paraId="0000001A">
            <w:pPr>
              <w:widowControl w:val="false"/>
              <w:pBdr/>
              <w:spacing w:before="0" w:line="240" w:lineRule="auto"/>
              <w:ind w:firstLine="0" w:left="0"/>
              <w:jc w:val="right"/>
              <w:rPr>
                <w:color w:val="434343"/>
                <w:sz w:val="22"/>
                <w:szCs w:val="22"/>
              </w:rPr>
            </w:pPr>
            <w:r>
              <w:rPr>
                <w:rtl w:val="0"/>
              </w:rPr>
            </w:r>
            <w:r>
              <w:rPr>
                <w:color w:val="434343"/>
                <w:sz w:val="22"/>
                <w:szCs w:val="22"/>
              </w:rPr>
            </w:r>
          </w:p>
          <w:p w14:paraId="0000001B">
            <w:pPr>
              <w:widowControl w:val="false"/>
              <w:pBdr/>
              <w:spacing w:before="0" w:line="240" w:lineRule="auto"/>
              <w:ind w:firstLine="0" w:left="0"/>
              <w:jc w:val="right"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Madrid</w:t>
            </w:r>
            <w:r>
              <w:rPr>
                <w:color w:val="434343"/>
                <w:sz w:val="22"/>
                <w:szCs w:val="22"/>
              </w:rPr>
            </w:r>
          </w:p>
        </w:tc>
      </w:tr>
      <w:tr>
        <w:trPr>
          <w:cantSplit w:val="false"/>
          <w:trHeight w:val="440"/>
        </w:trPr>
        <w:tc>
          <w:tcPr>
            <w:gridSpan w:val="2"/>
            <w:tcBorders/>
          </w:tcPr>
          <w:p w14:paraId="0000001D">
            <w:pPr>
              <w:pStyle w:val="165"/>
              <w:widowControl w:val="false"/>
              <w:numPr>
                <w:ilvl w:val="0"/>
                <w:numId w:val="7"/>
              </w:numPr>
              <w:pBdr/>
              <w:spacing w:before="0" w:line="252" w:lineRule="auto"/>
              <w:ind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Extracted user data from </w:t>
            </w:r>
            <w:r>
              <w:rPr>
                <w:i/>
                <w:iCs/>
                <w:color w:val="434343"/>
                <w:sz w:val="22"/>
                <w:szCs w:val="22"/>
                <w:rtl w:val="0"/>
              </w:rPr>
              <w:t xml:space="preserve">Samsung Member’s</w:t>
            </w:r>
            <w:r>
              <w:rPr>
                <w:color w:val="434343"/>
                <w:sz w:val="22"/>
                <w:szCs w:val="22"/>
                <w:rtl w:val="0"/>
              </w:rPr>
              <w:t xml:space="preserve"> app and created weekly and monthly marketing reports to measure customer engagement, optimise the content, and generate brand loyalty.</w:t>
            </w:r>
            <w:r>
              <w:rPr>
                <w:color w:val="434343"/>
                <w:sz w:val="22"/>
                <w:szCs w:val="22"/>
              </w:rPr>
            </w:r>
          </w:p>
        </w:tc>
      </w:tr>
      <w:tr>
        <w:trPr>
          <w:cantSplit w:val="false"/>
          <w:trHeight w:val="483"/>
        </w:trPr>
        <w:tc>
          <w:tcPr>
            <w:gridSpan w:val="2"/>
            <w:tcBorders/>
          </w:tcPr>
          <w:p w14:paraId="00000020">
            <w:pPr>
              <w:widowControl w:val="false"/>
              <w:pBdr/>
              <w:spacing w:before="0" w:line="240" w:lineRule="auto"/>
              <w:ind w:firstLine="0" w:left="0"/>
              <w:rPr>
                <w:b/>
                <w:bCs/>
                <w:color w:val="434343"/>
                <w:sz w:val="2"/>
                <w:szCs w:val="2"/>
              </w:rPr>
            </w:pPr>
            <w:r>
              <w:rPr>
                <w:rtl w:val="0"/>
              </w:rPr>
            </w:r>
            <w:r>
              <w:rPr>
                <w:b/>
                <w:bCs/>
                <w:color w:val="434343"/>
                <w:sz w:val="2"/>
                <w:szCs w:val="2"/>
              </w:rPr>
            </w:r>
          </w:p>
          <w:p w14:paraId="00000021">
            <w:pPr>
              <w:widowControl w:val="false"/>
              <w:pBdr/>
              <w:spacing w:before="0" w:line="240" w:lineRule="auto"/>
              <w:ind w:firstLine="0" w:left="0"/>
              <w:rPr>
                <w:color w:val="434343"/>
                <w:sz w:val="20"/>
                <w:szCs w:val="20"/>
              </w:rPr>
            </w:pPr>
            <w:r>
              <w:rPr>
                <w:b/>
                <w:bCs/>
                <w:color w:val="434343"/>
                <w:rtl w:val="0"/>
              </w:rPr>
              <w:t xml:space="preserve">EDUCATION</w:t>
            </w:r>
            <w:r>
              <w:rPr>
                <w:rtl w:val="0"/>
              </w:rPr>
            </w:r>
            <w:r>
              <w:rPr>
                <w:color w:val="434343"/>
                <w:sz w:val="20"/>
                <w:szCs w:val="20"/>
              </w:rPr>
            </w:r>
          </w:p>
        </w:tc>
      </w:tr>
      <w:tr>
        <w:trPr>
          <w:cantSplit w:val="false"/>
          <w:trHeight w:val="297"/>
        </w:trPr>
        <w:tc>
          <w:tcPr>
            <w:gridSpan w:val="2"/>
            <w:tcBorders/>
          </w:tcPr>
          <w:p w14:paraId="00000023">
            <w:pPr>
              <w:widowControl w:val="false"/>
              <w:pBdr/>
              <w:spacing w:before="0" w:line="276" w:lineRule="auto"/>
              <w:ind w:firstLine="0" w:left="0"/>
              <w:rPr>
                <w:color w:val="434343"/>
                <w:sz w:val="22"/>
                <w:szCs w:val="22"/>
              </w:rPr>
            </w:pPr>
            <w:r>
              <w:rPr>
                <w:b/>
                <w:bCs/>
                <w:color w:val="434343"/>
                <w:sz w:val="22"/>
                <w:szCs w:val="22"/>
                <w:rtl w:val="0"/>
              </w:rPr>
              <w:t xml:space="preserve">Data Analytics Certification Program </w:t>
            </w:r>
            <w:r>
              <w:rPr>
                <w:color w:val="434343"/>
                <w:sz w:val="22"/>
                <w:szCs w:val="22"/>
                <w:rtl w:val="0"/>
              </w:rPr>
              <w:t xml:space="preserve">- 2020</w:t>
            </w:r>
            <w:r>
              <w:rPr>
                <w:color w:val="434343"/>
                <w:sz w:val="22"/>
                <w:szCs w:val="22"/>
              </w:rPr>
            </w:r>
          </w:p>
          <w:p w14:paraId="00000024">
            <w:pPr>
              <w:widowControl w:val="false"/>
              <w:pBdr/>
              <w:spacing w:before="0" w:line="360" w:lineRule="auto"/>
              <w:ind w:firstLine="0" w:left="0"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University of Texas, Austin, USA</w:t>
            </w:r>
            <w:r>
              <w:rPr>
                <w:color w:val="434343"/>
                <w:sz w:val="22"/>
                <w:szCs w:val="22"/>
              </w:rPr>
            </w:r>
          </w:p>
          <w:p w14:paraId="00000025">
            <w:pPr>
              <w:widowControl w:val="false"/>
              <w:pBdr/>
              <w:spacing w:before="0" w:line="240" w:lineRule="auto"/>
              <w:ind w:firstLine="0" w:left="0"/>
              <w:rPr>
                <w:color w:val="434343"/>
                <w:sz w:val="22"/>
                <w:szCs w:val="22"/>
              </w:rPr>
            </w:pPr>
            <w:r>
              <w:rPr>
                <w:b/>
                <w:bCs/>
                <w:color w:val="434343"/>
                <w:sz w:val="22"/>
                <w:szCs w:val="22"/>
                <w:rtl w:val="0"/>
              </w:rPr>
              <w:t xml:space="preserve">Digital Analytics Advanced Studies</w:t>
            </w:r>
            <w:r>
              <w:rPr>
                <w:color w:val="434343"/>
                <w:sz w:val="22"/>
                <w:szCs w:val="22"/>
                <w:rtl w:val="0"/>
              </w:rPr>
              <w:t xml:space="preserve"> - 2019</w:t>
            </w:r>
            <w:r>
              <w:rPr>
                <w:color w:val="434343"/>
                <w:sz w:val="22"/>
                <w:szCs w:val="22"/>
              </w:rPr>
            </w:r>
          </w:p>
          <w:p w14:paraId="00000026">
            <w:pPr>
              <w:widowControl w:val="false"/>
              <w:pBdr/>
              <w:spacing w:before="0" w:line="360" w:lineRule="auto"/>
              <w:ind w:firstLine="0" w:left="0"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MSL Formacion, Madrid, Spain</w:t>
            </w:r>
            <w:r>
              <w:rPr>
                <w:color w:val="434343"/>
                <w:sz w:val="22"/>
                <w:szCs w:val="22"/>
              </w:rPr>
            </w:r>
          </w:p>
          <w:p w14:paraId="00000027">
            <w:pPr>
              <w:widowControl w:val="false"/>
              <w:pBdr/>
              <w:spacing w:before="0" w:line="240" w:lineRule="auto"/>
              <w:ind w:firstLine="0" w:left="0"/>
              <w:rPr>
                <w:color w:val="434343"/>
                <w:sz w:val="22"/>
                <w:szCs w:val="22"/>
              </w:rPr>
            </w:pPr>
            <w:r>
              <w:rPr>
                <w:b/>
                <w:bCs/>
                <w:color w:val="434343"/>
                <w:sz w:val="22"/>
                <w:szCs w:val="22"/>
                <w:rtl w:val="0"/>
              </w:rPr>
              <w:t xml:space="preserve">Bachelor of Science, Hospitality Management </w:t>
            </w:r>
            <w:r>
              <w:rPr>
                <w:color w:val="434343"/>
                <w:sz w:val="22"/>
                <w:szCs w:val="22"/>
                <w:rtl w:val="0"/>
              </w:rPr>
              <w:t xml:space="preserve">- 2011 </w:t>
            </w:r>
            <w:r>
              <w:rPr>
                <w:color w:val="434343"/>
                <w:sz w:val="22"/>
                <w:szCs w:val="22"/>
              </w:rPr>
            </w:r>
          </w:p>
          <w:p w14:paraId="00000028">
            <w:pPr>
              <w:widowControl w:val="false"/>
              <w:pBdr/>
              <w:spacing w:before="0" w:line="240" w:lineRule="auto"/>
              <w:ind w:firstLine="0" w:left="0"/>
              <w:rPr>
                <w:color w:val="434343"/>
                <w:sz w:val="22"/>
                <w:szCs w:val="22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Haaga-Helia, University of Applied Science, Porvoo, Finland</w:t>
            </w:r>
            <w:r>
              <w:rPr>
                <w:color w:val="434343"/>
                <w:sz w:val="22"/>
                <w:szCs w:val="22"/>
              </w:rPr>
            </w:r>
          </w:p>
        </w:tc>
      </w:tr>
      <w:tr>
        <w:trPr>
          <w:cantSplit w:val="false"/>
          <w:trHeight w:val="483"/>
        </w:trPr>
        <w:tc>
          <w:tcPr>
            <w:gridSpan w:val="2"/>
            <w:tcBorders/>
          </w:tcPr>
          <w:p w14:paraId="0000002A">
            <w:pPr>
              <w:widowControl w:val="false"/>
              <w:pBdr/>
              <w:spacing w:before="0" w:line="240" w:lineRule="auto"/>
              <w:ind w:firstLine="0" w:left="0"/>
              <w:rPr>
                <w:color w:val="434343"/>
                <w:sz w:val="20"/>
                <w:szCs w:val="20"/>
              </w:rPr>
            </w:pPr>
            <w:r>
              <w:rPr>
                <w:b/>
                <w:bCs/>
                <w:color w:val="434343"/>
                <w:rtl w:val="0"/>
              </w:rPr>
              <w:t xml:space="preserve">TOOLS</w:t>
            </w:r>
            <w:r>
              <w:rPr>
                <w:rtl w:val="0"/>
              </w:rPr>
            </w:r>
            <w:r>
              <w:rPr>
                <w:color w:val="434343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gridSpan w:val="2"/>
            <w:tcBorders/>
          </w:tcPr>
          <w:p w14:paraId="0000002C">
            <w:pPr>
              <w:widowControl w:val="false"/>
              <w:pBdr/>
              <w:spacing w:before="0" w:line="240" w:lineRule="auto"/>
              <w:ind w:firstLine="0" w:left="0"/>
              <w:rPr>
                <w:b/>
                <w:bCs/>
                <w:color w:val="434343"/>
                <w:sz w:val="26"/>
                <w:szCs w:val="26"/>
              </w:rPr>
            </w:pPr>
            <w:r/>
            <w:hyperlink r:id="rId11" w:tooltip="https://public.tableau.com/app/profile/francisco4773/vizzes#!/" w:history="1">
              <w:r>
                <w:rPr>
                  <w:color w:val="434343"/>
                  <w:sz w:val="22"/>
                  <w:szCs w:val="22"/>
                  <w:u w:val="single"/>
                  <w:rtl w:val="0"/>
                </w:rPr>
                <w:t xml:space="preserve">Tableau</w:t>
              </w:r>
            </w:hyperlink>
            <w:r>
              <w:rPr>
                <w:color w:val="434343"/>
                <w:sz w:val="22"/>
                <w:szCs w:val="22"/>
                <w:rtl w:val="0"/>
              </w:rPr>
              <w:t xml:space="preserve"> | Tableau Server | Claude Code | Power Automate | Microsoft Azure | Databricks | Power BI | SQL | Python | DevOps | Jira | REST API | HTML | Regex | Figma</w:t>
            </w:r>
            <w:r>
              <w:rPr>
                <w:rtl w:val="0"/>
              </w:rPr>
            </w:r>
            <w:r>
              <w:rPr>
                <w:b/>
                <w:bCs/>
                <w:color w:val="434343"/>
                <w:sz w:val="26"/>
                <w:szCs w:val="26"/>
              </w:rPr>
            </w:r>
          </w:p>
        </w:tc>
      </w:tr>
      <w:tr>
        <w:trPr>
          <w:cantSplit w:val="false"/>
          <w:trHeight w:val="483"/>
        </w:trPr>
        <w:tc>
          <w:tcPr>
            <w:gridSpan w:val="2"/>
            <w:tcBorders/>
          </w:tcPr>
          <w:p w14:paraId="0000002E">
            <w:pPr>
              <w:widowControl w:val="false"/>
              <w:pBdr/>
              <w:spacing w:before="0" w:line="240" w:lineRule="auto"/>
              <w:ind w:firstLine="0" w:left="0"/>
              <w:rPr>
                <w:color w:val="434343"/>
                <w:sz w:val="20"/>
                <w:szCs w:val="20"/>
              </w:rPr>
            </w:pPr>
            <w:r>
              <w:rPr>
                <w:b/>
                <w:bCs/>
                <w:color w:val="434343"/>
                <w:rtl w:val="0"/>
              </w:rPr>
              <w:t xml:space="preserve">LANGUAGES</w:t>
            </w:r>
            <w:r>
              <w:rPr>
                <w:rtl w:val="0"/>
              </w:rPr>
            </w:r>
            <w:r>
              <w:rPr>
                <w:color w:val="434343"/>
                <w:sz w:val="20"/>
                <w:szCs w:val="20"/>
              </w:rPr>
            </w:r>
          </w:p>
        </w:tc>
      </w:tr>
      <w:tr>
        <w:trPr>
          <w:cantSplit w:val="false"/>
        </w:trPr>
        <w:tc>
          <w:tcPr>
            <w:gridSpan w:val="2"/>
            <w:tcBorders/>
          </w:tcPr>
          <w:p w14:paraId="00000030">
            <w:pPr>
              <w:widowControl w:val="false"/>
              <w:pBdr/>
              <w:spacing w:before="0" w:line="240" w:lineRule="auto"/>
              <w:ind w:firstLine="0" w:left="0"/>
              <w:rPr>
                <w:b/>
                <w:bCs/>
                <w:color w:val="434343"/>
                <w:sz w:val="26"/>
                <w:szCs w:val="26"/>
              </w:rPr>
            </w:pPr>
            <w:r>
              <w:rPr>
                <w:color w:val="434343"/>
                <w:sz w:val="22"/>
                <w:szCs w:val="22"/>
                <w:rtl w:val="0"/>
              </w:rPr>
              <w:t xml:space="preserve">Native level in Portuguese and bilingual in English and Spanish</w:t>
            </w:r>
            <w:r>
              <w:rPr>
                <w:rtl w:val="0"/>
              </w:rPr>
            </w:r>
            <w:r>
              <w:rPr>
                <w:b/>
                <w:bCs/>
                <w:color w:val="434343"/>
                <w:sz w:val="26"/>
                <w:szCs w:val="26"/>
              </w:rPr>
            </w:r>
          </w:p>
        </w:tc>
      </w:tr>
    </w:tbl>
    <w:p w14:paraId="00000032">
      <w:pPr>
        <w:widowControl w:val="false"/>
        <w:pBdr/>
        <w:spacing w:before="0" w:line="360" w:lineRule="auto"/>
        <w:ind w:firstLine="0" w:left="0"/>
        <w:rPr>
          <w:color w:val="434343"/>
          <w:shd w:val="clear" w:color="auto" w:fill="ea9999"/>
        </w:rPr>
      </w:pPr>
      <w:r>
        <w:rPr>
          <w:rtl w:val="0"/>
        </w:rPr>
      </w:r>
      <w:r>
        <w:rPr>
          <w:color w:val="434343"/>
          <w:shd w:val="clear" w:color="auto" w:fill="ea9999"/>
        </w:rPr>
      </w:r>
    </w:p>
    <w:sectPr>
      <w:footnotePr/>
      <w:endnotePr/>
      <w:type w:val="nextPage"/>
      <w:pgSz w:h="16838" w:orient="portrait" w:w="11906"/>
      <w:pgMar w:top="0" w:right="1440" w:bottom="0" w:left="1440" w:header="1133" w:footer="283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rebuchet MS">
    <w:panose1 w:val="020B0603020202020204"/>
  </w:font>
  <w:font w:name="Arial">
    <w:panose1 w:val="020B0604020202020204"/>
  </w:font>
  <w:font w:name="Roboto"/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color w:val="a1bbde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color w:val="a1bbde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color w:val="a1bbde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nsid w:val="14A2C7B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AC7E8E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A2B952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DF2A6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Roboto" w:hAnsi="Roboto" w:eastAsia="Roboto" w:cs="Roboto"/>
        <w:color w:val="666666"/>
        <w:sz w:val="24"/>
        <w:szCs w:val="24"/>
      </w:rPr>
    </w:rPrDefault>
    <w:pPrDefault>
      <w:pPr>
        <w:pBdr/>
        <w:spacing w:after="0" w:afterAutospacing="0" w:before="200" w:beforeAutospacing="0" w:line="335" w:lineRule="auto"/>
        <w:ind w:right="0" w:firstLine="0" w:left="-1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6"/>
    <w:next w:val="67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6"/>
    <w:next w:val="67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6"/>
    <w:next w:val="67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6"/>
    <w:next w:val="6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6"/>
    <w:next w:val="6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table" w:styleId="67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6" w:default="1">
    <w:name w:val="Normal"/>
    <w:pPr>
      <w:pBdr/>
      <w:spacing/>
      <w:ind/>
    </w:pPr>
  </w:style>
  <w:style w:type="paragraph" w:styleId="677">
    <w:name w:val="Heading 1"/>
    <w:basedOn w:val="676"/>
    <w:next w:val="676"/>
    <w:pPr>
      <w:pageBreakBefore w:val="false"/>
      <w:pBdr/>
      <w:spacing w:before="480" w:line="240" w:lineRule="auto"/>
      <w:ind/>
    </w:pPr>
    <w:rPr>
      <w:b/>
      <w:bCs/>
      <w:color w:val="999999"/>
      <w:sz w:val="36"/>
      <w:szCs w:val="36"/>
    </w:rPr>
  </w:style>
  <w:style w:type="paragraph" w:styleId="678">
    <w:name w:val="Heading 2"/>
    <w:basedOn w:val="676"/>
    <w:next w:val="676"/>
    <w:pPr>
      <w:pageBreakBefore w:val="false"/>
      <w:pBdr/>
      <w:spacing w:before="480" w:line="240" w:lineRule="auto"/>
      <w:ind w:hanging="360" w:left="720"/>
    </w:pPr>
    <w:rPr>
      <w:color w:val="000000"/>
      <w:sz w:val="32"/>
      <w:szCs w:val="32"/>
    </w:rPr>
  </w:style>
  <w:style w:type="paragraph" w:styleId="679">
    <w:name w:val="Heading 3"/>
    <w:basedOn w:val="676"/>
    <w:next w:val="676"/>
    <w:pPr>
      <w:pageBreakBefore w:val="false"/>
      <w:pBdr/>
      <w:spacing/>
      <w:ind w:firstLine="0" w:left="0"/>
      <w:jc w:val="center"/>
    </w:pPr>
    <w:rPr>
      <w:i/>
      <w:iCs/>
      <w:sz w:val="16"/>
      <w:szCs w:val="16"/>
    </w:rPr>
  </w:style>
  <w:style w:type="paragraph" w:styleId="680">
    <w:name w:val="Heading 4"/>
    <w:basedOn w:val="676"/>
    <w:next w:val="676"/>
    <w:pPr>
      <w:keepNext w:val="true"/>
      <w:keepLines w:val="true"/>
      <w:pageBreakBefore w:val="false"/>
      <w:pBdr/>
      <w:spacing w:before="0"/>
      <w:ind/>
    </w:pPr>
    <w:rPr>
      <w:b/>
      <w:bCs/>
      <w:color w:val="6d64e8"/>
      <w:sz w:val="40"/>
      <w:szCs w:val="40"/>
    </w:rPr>
  </w:style>
  <w:style w:type="paragraph" w:styleId="681">
    <w:name w:val="Heading 5"/>
    <w:basedOn w:val="676"/>
    <w:next w:val="676"/>
    <w:pPr>
      <w:keepNext w:val="true"/>
      <w:keepLines w:val="true"/>
      <w:pageBreakBefore w:val="false"/>
      <w:pBdr/>
      <w:spacing w:after="0" w:before="160"/>
      <w:ind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682">
    <w:name w:val="Heading 6"/>
    <w:basedOn w:val="676"/>
    <w:next w:val="676"/>
    <w:pPr>
      <w:keepNext w:val="true"/>
      <w:keepLines w:val="true"/>
      <w:pageBreakBefore w:val="false"/>
      <w:pBdr/>
      <w:spacing w:after="0" w:before="160"/>
      <w:ind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paragraph" w:styleId="683">
    <w:name w:val="Title"/>
    <w:basedOn w:val="676"/>
    <w:next w:val="676"/>
    <w:pPr>
      <w:pageBreakBefore w:val="false"/>
      <w:pBdr/>
      <w:spacing w:after="0" w:before="400" w:line="240" w:lineRule="auto"/>
      <w:ind/>
    </w:pPr>
    <w:rPr>
      <w:color w:val="283592"/>
      <w:sz w:val="68"/>
      <w:szCs w:val="68"/>
    </w:rPr>
  </w:style>
  <w:style w:type="paragraph" w:styleId="684">
    <w:name w:val="Subtitle"/>
    <w:basedOn w:val="676"/>
    <w:next w:val="676"/>
    <w:pPr>
      <w:pageBreakBefore w:val="false"/>
      <w:pBdr/>
      <w:spacing w:before="400" w:line="240" w:lineRule="auto"/>
      <w:ind/>
    </w:pPr>
    <w:rPr>
      <w:b/>
      <w:bCs/>
      <w:color w:val="3c78d8"/>
      <w:sz w:val="36"/>
      <w:szCs w:val="36"/>
    </w:rPr>
  </w:style>
  <w:style w:type="table" w:styleId="685">
    <w:name w:val="StGen0"/>
    <w:basedOn w:val="67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ffmcardoso@gmail.com" TargetMode="External"/><Relationship Id="rId10" Type="http://schemas.openxmlformats.org/officeDocument/2006/relationships/hyperlink" Target="https://franciscocardoso.eu/" TargetMode="External"/><Relationship Id="rId11" Type="http://schemas.openxmlformats.org/officeDocument/2006/relationships/hyperlink" Target="https://public.tableau.com/app/profile/francisco4773/vizzes#!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