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58F3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GOVERNANÇA DE REGRAS VIGENTES, VERSIONAMENTO NORMATIVO E CONFLITOS DE POLÍTICA TEMPORAL — VERSÃO INICIAL</w:t>
      </w:r>
      <w:r/>
    </w:p>
    <w:p w14:paraId="214313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49E5F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evolução contínua de regras institucionais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incluindo criação, revogação, sobreposição e coexistência de normas que afetam a interpretação de jornadas, eventos e cálculos históricos.</w:t>
      </w:r>
      <w:r/>
    </w:p>
    <w:p w14:paraId="65E91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129A5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completo de regras;</w:t>
      </w:r>
      <w:r/>
    </w:p>
    <w:p w14:paraId="610B03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de regras por vigência temporal;</w:t>
      </w:r>
      <w:r/>
    </w:p>
    <w:p w14:paraId="59CB7D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conflitos normativos;</w:t>
      </w:r>
      <w:r/>
    </w:p>
    <w:p w14:paraId="77929C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qual regra gerou qual decisão;</w:t>
      </w:r>
      <w:r/>
    </w:p>
    <w:p w14:paraId="05B4C5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dependente de versão normativa;</w:t>
      </w:r>
      <w:r/>
    </w:p>
    <w:p w14:paraId="4CD643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múltiplas regras no mesmo período histórico.</w:t>
      </w:r>
      <w:r/>
    </w:p>
    <w:p w14:paraId="38EBD0E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1855A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Instituição:</w:t>
      </w:r>
      <w:r/>
    </w:p>
    <w:p w14:paraId="5EE77E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 regras de jornada ao longo do tempo;</w:t>
      </w:r>
      <w:r/>
    </w:p>
    <w:p w14:paraId="284F16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publicar normas com efeitos imediatos ou retroativos;</w:t>
      </w:r>
      <w:r/>
    </w:p>
    <w:p w14:paraId="5A2B93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revogar ou substituir regras anteriores;</w:t>
      </w:r>
      <w:r/>
    </w:p>
    <w:p w14:paraId="4E7984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manter regras coexistentes para grupos distintos.</w:t>
      </w:r>
      <w:r/>
    </w:p>
    <w:p w14:paraId="5085D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292873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manter todas as versões normativas;</w:t>
      </w:r>
      <w:r/>
    </w:p>
    <w:p w14:paraId="21F6B1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nunca sobrescrever regra antiga;</w:t>
      </w:r>
      <w:r/>
    </w:p>
    <w:p w14:paraId="64DAB0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sempre resolver qual regra aplicar por contexto temporal.</w:t>
      </w:r>
      <w:r/>
    </w:p>
    <w:p w14:paraId="3D41D7F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3CF20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7B79DB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regras com início e fim de vigência;</w:t>
      </w:r>
      <w:r/>
    </w:p>
    <w:p w14:paraId="0ABCF4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determinística de conflitos normativos;</w:t>
      </w:r>
      <w:r/>
    </w:p>
    <w:p w14:paraId="33E3EA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associação de regras a grupos, perfis ou unidades;</w:t>
      </w:r>
      <w:r/>
    </w:p>
    <w:p w14:paraId="5A20A8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de regras retroativas controladas;</w:t>
      </w:r>
      <w:r/>
    </w:p>
    <w:p w14:paraId="374ED1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regra aplicada por evento;</w:t>
      </w:r>
      <w:r/>
    </w:p>
    <w:p w14:paraId="1DA3A0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simulação de impacto normativo.</w:t>
      </w:r>
      <w:r/>
    </w:p>
    <w:p w14:paraId="090C93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1CE40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 de evolução normativa:</w:t>
      </w:r>
      <w:r/>
    </w:p>
    <w:p w14:paraId="62DE77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 A: jornada 8h padrão (vigente até dia 15)</w:t>
      </w:r>
      <w:r/>
    </w:p>
    <w:p w14:paraId="502F20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 B: jornada flexível (vigente do dia 16 ao 25)</w:t>
      </w:r>
      <w:r/>
    </w:p>
    <w:p w14:paraId="77A693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 C: jornada híbrida com banco de horas diferenciado (vigente a partir do dia 26)</w:t>
      </w:r>
      <w:r/>
    </w:p>
    <w:p w14:paraId="02F74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a competência:</w:t>
      </w:r>
      <w:r/>
    </w:p>
    <w:p w14:paraId="6EA2A7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são registrados sob diferentes regimes normativos;</w:t>
      </w:r>
      <w:r/>
    </w:p>
    <w:p w14:paraId="2B907B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interpretações anteriores podem ser afetadas por novas regras.</w:t>
      </w:r>
      <w:r/>
    </w:p>
    <w:p w14:paraId="4CEF9F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7FC7A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5DD7EFD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10 — cálculo sob Regra A</w:t>
      </w:r>
      <w:r/>
    </w:p>
    <w:p w14:paraId="1C8BEC6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16 — transição para Regra B</w:t>
      </w:r>
      <w:r/>
    </w:p>
    <w:p w14:paraId="01CE79D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18 — evento interpretado sob Regra B</w:t>
      </w:r>
      <w:r/>
    </w:p>
    <w:p w14:paraId="139C241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26 — nova regra C ativa</w:t>
      </w:r>
      <w:r/>
    </w:p>
    <w:p w14:paraId="50B85F8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28 — evento sob Regra C com impacto diferente no saldo</w:t>
      </w:r>
      <w:r/>
    </w:p>
    <w:p w14:paraId="5A71623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3D95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73E914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completo de versões de regras;</w:t>
      </w:r>
      <w:r/>
    </w:p>
    <w:p w14:paraId="730EAF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aplicação normativa por evento;</w:t>
      </w:r>
      <w:r/>
    </w:p>
    <w:p w14:paraId="122B79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de cálculo por versão;</w:t>
      </w:r>
      <w:r/>
    </w:p>
    <w:p w14:paraId="210171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metadados de vigência;</w:t>
      </w:r>
      <w:r/>
    </w:p>
    <w:p w14:paraId="4F315A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administrativas associadas a regras.</w:t>
      </w:r>
      <w:r/>
    </w:p>
    <w:p w14:paraId="1301BF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00B1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761A01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 estritamente por intervalo de vigência;</w:t>
      </w:r>
      <w:r/>
    </w:p>
    <w:p w14:paraId="76714C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retroagir regra sem controle explícito;</w:t>
      </w:r>
      <w:r/>
    </w:p>
    <w:p w14:paraId="0B0E5D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de decisões por versão normativa;</w:t>
      </w:r>
      <w:r/>
    </w:p>
    <w:p w14:paraId="4BA973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reprocessar eventos apenas quando regra aplicável mudar;</w:t>
      </w:r>
      <w:r/>
    </w:p>
    <w:p w14:paraId="7760AA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entre regra → evento → cálculo;</w:t>
      </w:r>
      <w:r/>
    </w:p>
    <w:p w14:paraId="584C6D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simulações de impacto de novas regras.</w:t>
      </w:r>
      <w:r/>
    </w:p>
    <w:p w14:paraId="1A73F3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6ACC5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46423F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normativa legítima com impacto progressivo;</w:t>
      </w:r>
      <w:r/>
    </w:p>
    <w:p w14:paraId="6F052A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regras sobrepostas;</w:t>
      </w:r>
      <w:r/>
    </w:p>
    <w:p w14:paraId="6DA2C7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publicação de norma;</w:t>
      </w:r>
      <w:r/>
    </w:p>
    <w:p w14:paraId="1A0D7D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interpretação hierárquica;</w:t>
      </w:r>
      <w:r/>
    </w:p>
    <w:p w14:paraId="69D66B3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intencional de regras para grupos distintos.</w:t>
      </w:r>
      <w:r/>
    </w:p>
    <w:p w14:paraId="70A827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2A9C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237A66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com vigência sobreposta;</w:t>
      </w:r>
      <w:r/>
    </w:p>
    <w:p w14:paraId="66C5DF0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sem regra claramente aplicável;</w:t>
      </w:r>
      <w:r/>
    </w:p>
    <w:p w14:paraId="7C3DC3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cálculo antigo e recalculado;</w:t>
      </w:r>
      <w:r/>
    </w:p>
    <w:p w14:paraId="02D53F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regra global e regra setorial;</w:t>
      </w:r>
      <w:r/>
    </w:p>
    <w:p w14:paraId="2C841FA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 retroatividade.</w:t>
      </w:r>
      <w:r/>
    </w:p>
    <w:p w14:paraId="222623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73D20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7F766C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de regra aplicável em borda temporal;</w:t>
      </w:r>
      <w:r/>
    </w:p>
    <w:p w14:paraId="5E4687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conflito normativo hierárquico;</w:t>
      </w:r>
      <w:r/>
    </w:p>
    <w:p w14:paraId="1E40F4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retroatividade;</w:t>
      </w:r>
      <w:r/>
    </w:p>
    <w:p w14:paraId="3CB6D6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manual de interpretação normativa;</w:t>
      </w:r>
      <w:r/>
    </w:p>
    <w:p w14:paraId="519B97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institucional de regras conflitantes.</w:t>
      </w:r>
      <w:r/>
    </w:p>
    <w:p w14:paraId="7CC7C3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635D7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278C06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normativa institucional;</w:t>
      </w:r>
      <w:r/>
    </w:p>
    <w:p w14:paraId="30EFF0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adequação legal ou regulatória;</w:t>
      </w:r>
      <w:r/>
    </w:p>
    <w:p w14:paraId="022094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correção de regra anterior;</w:t>
      </w:r>
      <w:r/>
    </w:p>
    <w:p w14:paraId="2A3A04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 superior;</w:t>
      </w:r>
      <w:r/>
    </w:p>
    <w:p w14:paraId="3CD99B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setoriais específicos.</w:t>
      </w:r>
      <w:r/>
    </w:p>
    <w:p w14:paraId="05A250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2C852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1444DF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regra nova com efeito imediato;</w:t>
      </w:r>
      <w:r/>
    </w:p>
    <w:p w14:paraId="615EB3B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 retroativa parcial;</w:t>
      </w:r>
      <w:r/>
    </w:p>
    <w:p w14:paraId="54A6BC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múltiplas regras coexistindo;</w:t>
      </w:r>
      <w:r/>
    </w:p>
    <w:p w14:paraId="1DFB74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revogar regra anterior;</w:t>
      </w:r>
      <w:r/>
    </w:p>
    <w:p w14:paraId="249BE7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determinar reprocessamento total ou parcial.</w:t>
      </w:r>
      <w:r/>
    </w:p>
    <w:p w14:paraId="00C59D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4C94E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0CD07B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interpretação histórica;</w:t>
      </w:r>
      <w:r/>
    </w:p>
    <w:p w14:paraId="4C56CB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de cálculo em períodos já processados;</w:t>
      </w:r>
      <w:r/>
    </w:p>
    <w:p w14:paraId="16006B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múltiplas interpretações válidas;</w:t>
      </w:r>
      <w:r/>
    </w:p>
    <w:p w14:paraId="465FEE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de eventos antigos.</w:t>
      </w:r>
      <w:r/>
    </w:p>
    <w:p w14:paraId="6E77E2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6A0DD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3F177B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conforme nova regra;</w:t>
      </w:r>
      <w:r/>
    </w:p>
    <w:p w14:paraId="7F2233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retroativos;</w:t>
      </w:r>
      <w:r/>
    </w:p>
    <w:p w14:paraId="4EFBDE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apresentar diferenças entre versões normativas;</w:t>
      </w:r>
      <w:r/>
    </w:p>
    <w:p w14:paraId="555525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trilha histórica de cálculo por regra.</w:t>
      </w:r>
      <w:r/>
    </w:p>
    <w:p w14:paraId="2FD6316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78170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C4CB0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versão normativa vigente no período original;</w:t>
      </w:r>
      <w:r/>
    </w:p>
    <w:p w14:paraId="5821BB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reprocessamento apenas quando autorizado;</w:t>
      </w:r>
      <w:r/>
    </w:p>
    <w:p w14:paraId="0C13F69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versões múltiplas de cálculo;</w:t>
      </w:r>
      <w:r/>
    </w:p>
    <w:p w14:paraId="4C3449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de regra aplicada.</w:t>
      </w:r>
      <w:r/>
    </w:p>
    <w:p w14:paraId="5B86C7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27A4D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305225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 aplicada permanece registrada como contexto histórico;</w:t>
      </w:r>
      <w:r/>
    </w:p>
    <w:p w14:paraId="1287A9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normativas não devem alterar fechamento já consolidado;</w:t>
      </w:r>
      <w:r/>
    </w:p>
    <w:p w14:paraId="38E004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futuros devem ocorrer como novas camadas.</w:t>
      </w:r>
      <w:r/>
    </w:p>
    <w:p w14:paraId="6795B7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0C56B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163739F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retroativa não controlada de regras;</w:t>
      </w:r>
      <w:r/>
    </w:p>
    <w:p w14:paraId="7E6B51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sobrescrita de histórico normativo;</w:t>
      </w:r>
      <w:r/>
    </w:p>
    <w:p w14:paraId="6ECDE8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vínculo regra → evento;</w:t>
      </w:r>
      <w:r/>
    </w:p>
    <w:p w14:paraId="68AB8B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entre versões de cálculo;</w:t>
      </w:r>
      <w:r/>
    </w:p>
    <w:p w14:paraId="1D3847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não resolvido entre regras simultâneas.</w:t>
      </w:r>
      <w:r/>
    </w:p>
    <w:p w14:paraId="1DC9D8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82AB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4346F1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hierarquia entre regras conflitantes;</w:t>
      </w:r>
      <w:r/>
    </w:p>
    <w:p w14:paraId="14C882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retroatividade parcial vs total;</w:t>
      </w:r>
      <w:r/>
    </w:p>
    <w:p w14:paraId="0EA001B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implícitas não formalizadas;</w:t>
      </w:r>
      <w:r/>
    </w:p>
    <w:p w14:paraId="34E7FD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normas setoriais.</w:t>
      </w:r>
      <w:r/>
    </w:p>
    <w:p w14:paraId="2CE884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39342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19D6F8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normativa completa do sistema;</w:t>
      </w:r>
      <w:r/>
    </w:p>
    <w:p w14:paraId="4DA793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regras como eixo central;</w:t>
      </w:r>
      <w:r/>
    </w:p>
    <w:p w14:paraId="13EE8C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histórica sob mudanças institucionais.</w:t>
      </w:r>
      <w:r/>
    </w:p>
    <w:p w14:paraId="5E4DE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404B8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jurídica do modelo;</w:t>
      </w:r>
      <w:r/>
    </w:p>
    <w:p w14:paraId="258FE9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regulatória;</w:t>
      </w:r>
      <w:r/>
    </w:p>
    <w:p w14:paraId="32C67A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em ambientes dinâmicos.</w:t>
      </w:r>
      <w:r/>
    </w:p>
    <w:p w14:paraId="632FE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29F20CF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normativo;</w:t>
      </w:r>
      <w:r/>
    </w:p>
    <w:p w14:paraId="36C39B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jurídicos-administrativos;</w:t>
      </w:r>
      <w:r/>
    </w:p>
    <w:p w14:paraId="5BF1A08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engine de regras;</w:t>
      </w:r>
      <w:r/>
    </w:p>
    <w:p w14:paraId="1A1566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institucional;</w:t>
      </w:r>
      <w:r/>
    </w:p>
    <w:p w14:paraId="03F57D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modelagem de políticas temporais.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5A7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2ABA1A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5B0E2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2026-05-18T20:23:21Z</dcterms:modified>
</cp:coreProperties>
</file>