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CEE14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REABERTURA DE PERÍODO FECHADO, AJUSTES COMPENSATÓRIOS E TRILHA DE AUDITORIA — VERSÃO INICIAL</w:t>
      </w:r>
      <w:r/>
    </w:p>
    <w:p w14:paraId="27763D6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7D218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alterações posteriores a um período já fechado e consolidado, sem violação da imutabilidade histórica, utilizando mecanismos compensatórios e trilhas de auditoria.</w:t>
      </w:r>
      <w:r/>
    </w:p>
    <w:p w14:paraId="3726F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053C7B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definitivo de competência;</w:t>
      </w:r>
      <w:r/>
    </w:p>
    <w:p w14:paraId="3439F3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impossibilidade de edição direta de histórico consolidado;</w:t>
      </w:r>
      <w:r/>
    </w:p>
    <w:p w14:paraId="661246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reabertura lógica versus reabertura estrutural;</w:t>
      </w:r>
      <w:r/>
    </w:p>
    <w:p w14:paraId="093883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compensatórios;</w:t>
      </w:r>
      <w:r/>
    </w:p>
    <w:p w14:paraId="49F376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correções;</w:t>
      </w:r>
      <w:r/>
    </w:p>
    <w:p w14:paraId="707F43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integridade histórica;</w:t>
      </w:r>
      <w:r/>
    </w:p>
    <w:p w14:paraId="606726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completa de mudanças pós-fechamento.</w:t>
      </w:r>
      <w:r/>
    </w:p>
    <w:p w14:paraId="1E5AE91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2CDEC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09BF68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folha de ponto já fechada;</w:t>
      </w:r>
      <w:r/>
    </w:p>
    <w:p w14:paraId="7C1064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 mensal já consolidado e aprovado.</w:t>
      </w:r>
      <w:r/>
    </w:p>
    <w:p w14:paraId="1729F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Posteriormente:</w:t>
      </w:r>
      <w:r/>
    </w:p>
    <w:p w14:paraId="27977F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surge necessidade de ajuste;</w:t>
      </w:r>
      <w:r/>
    </w:p>
    <w:p w14:paraId="5CBE25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seja por erro, justificativa tardia ou nova evidência.</w:t>
      </w:r>
      <w:r/>
    </w:p>
    <w:p w14:paraId="59667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217B62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pode sobrescrever o passado;</w:t>
      </w:r>
      <w:r/>
    </w:p>
    <w:p w14:paraId="6BAA2D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registrar correções como eventos derivados.</w:t>
      </w:r>
      <w:r/>
    </w:p>
    <w:p w14:paraId="0D9B1E8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4F047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49C5A5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imutável de competência;</w:t>
      </w:r>
      <w:r/>
    </w:p>
    <w:p w14:paraId="2F7D32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corretivos pós-fechamento;</w:t>
      </w:r>
      <w:r/>
    </w:p>
    <w:p w14:paraId="7B0C48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vínculos referenciais entre versões;</w:t>
      </w:r>
      <w:r/>
    </w:p>
    <w:p w14:paraId="199485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 de auditoria completa;</w:t>
      </w:r>
      <w:r/>
    </w:p>
    <w:p w14:paraId="730227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recalculação paralela sem destruição histórica.</w:t>
      </w:r>
      <w:r/>
    </w:p>
    <w:p w14:paraId="1BBD66E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2A3CD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mensal:</w:t>
      </w:r>
      <w:r/>
    </w:p>
    <w:p w14:paraId="02858A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Período: março</w:t>
      </w:r>
      <w:r/>
    </w:p>
    <w:p w14:paraId="5FA0D4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Status: fechado e homologado</w:t>
      </w:r>
      <w:r/>
    </w:p>
    <w:p w14:paraId="75055F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horas: consolidado</w:t>
      </w:r>
      <w:r/>
    </w:p>
    <w:p w14:paraId="0EFD39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Posteriormente:</w:t>
      </w:r>
      <w:r/>
    </w:p>
    <w:p w14:paraId="1286C5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apresenta nova evidência de jornada não computada;</w:t>
      </w:r>
      <w:r/>
    </w:p>
    <w:p w14:paraId="242733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supervisor reconhece erro parcial de classificação.</w:t>
      </w:r>
      <w:r/>
    </w:p>
    <w:p w14:paraId="681DA2B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1FB6B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envolvidos:</w:t>
      </w:r>
      <w:r/>
    </w:p>
    <w:p w14:paraId="6FBE443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Folha de março fechada (versão 1)</w:t>
      </w:r>
      <w:r/>
    </w:p>
    <w:p w14:paraId="5DA28030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consolidada e assinada</w:t>
      </w:r>
      <w:r/>
    </w:p>
    <w:p w14:paraId="60E2229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novo identificado:</w:t>
      </w:r>
      <w:r/>
    </w:p>
    <w:p w14:paraId="6DA394F3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de 14:00 às 18:00 não considerado anteriormente</w:t>
      </w:r>
      <w:r/>
    </w:p>
    <w:p w14:paraId="6EB293D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Solicitação de ajuste:</w:t>
      </w:r>
      <w:r/>
    </w:p>
    <w:p w14:paraId="4DED4393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inclusão retroativa de impacto compensatório</w:t>
      </w:r>
      <w:r/>
    </w:p>
    <w:p w14:paraId="628E2E5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49530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34677A3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folha consolidada original;</w:t>
      </w:r>
      <w:r/>
    </w:p>
    <w:p w14:paraId="6C5EFFD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novo registro bruto;</w:t>
      </w:r>
      <w:r/>
    </w:p>
    <w:p w14:paraId="29F64DE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administrativa;</w:t>
      </w:r>
      <w:r/>
    </w:p>
    <w:p w14:paraId="322233E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aprovação hierárquica (ou pendente);</w:t>
      </w:r>
      <w:r/>
    </w:p>
    <w:p w14:paraId="51747E9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 de auditoria do sistema.</w:t>
      </w:r>
      <w:r/>
    </w:p>
    <w:p w14:paraId="763B642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1BA5F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38E0D2A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integralmente a versão fechada original;</w:t>
      </w:r>
      <w:r/>
    </w:p>
    <w:p w14:paraId="09E2D8F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edição direta de dados históricos consolidados;</w:t>
      </w:r>
      <w:r/>
    </w:p>
    <w:p w14:paraId="2588F52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registro de ajuste compensatório vinculado;</w:t>
      </w:r>
      <w:r/>
    </w:p>
    <w:p w14:paraId="15B99E7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entre versão original e ajuste;</w:t>
      </w:r>
      <w:r/>
    </w:p>
    <w:p w14:paraId="7BB63C9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reprocessamento paralelo (sem sobrescrever histórico);</w:t>
      </w:r>
      <w:r/>
    </w:p>
    <w:p w14:paraId="4D780F4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atualizar saldos via mecanismo derivado.</w:t>
      </w:r>
      <w:r/>
    </w:p>
    <w:p w14:paraId="06D9DD6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38BF5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0D50C46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processamento original;</w:t>
      </w:r>
      <w:r/>
    </w:p>
    <w:p w14:paraId="3393340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omissão de sincronização offline;</w:t>
      </w:r>
      <w:r/>
    </w:p>
    <w:p w14:paraId="5F8E2CC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tardia válida;</w:t>
      </w:r>
      <w:r/>
    </w:p>
    <w:p w14:paraId="73FEA13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administrativo legítimo;</w:t>
      </w:r>
      <w:r/>
    </w:p>
    <w:p w14:paraId="6846758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reclassificação indevida.</w:t>
      </w:r>
      <w:r/>
    </w:p>
    <w:p w14:paraId="09926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6A46671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decidir automaticamente a natureza do ajuste;</w:t>
      </w:r>
      <w:r/>
    </w:p>
    <w:p w14:paraId="1F6C7BF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aguardar validação administrativa quando necessário.</w:t>
      </w:r>
      <w:r/>
    </w:p>
    <w:p w14:paraId="4386316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080FC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4F70DE0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folha fechada e novos registros;</w:t>
      </w:r>
      <w:r/>
    </w:p>
    <w:p w14:paraId="038E4D8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duplicidade de impacto se reprocessado incorretamente;</w:t>
      </w:r>
      <w:r/>
    </w:p>
    <w:p w14:paraId="4D9FB90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versões de cálculo;</w:t>
      </w:r>
      <w:r/>
    </w:p>
    <w:p w14:paraId="2FC872C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de saldo anterior.</w:t>
      </w:r>
      <w:r/>
    </w:p>
    <w:p w14:paraId="462E21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1FD60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262E67F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do ajuste;</w:t>
      </w:r>
      <w:r/>
    </w:p>
    <w:p w14:paraId="786B888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superior;</w:t>
      </w:r>
      <w:r/>
    </w:p>
    <w:p w14:paraId="1AB9B88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impacto financeiro;</w:t>
      </w:r>
      <w:r/>
    </w:p>
    <w:p w14:paraId="20A62F8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para compensação.</w:t>
      </w:r>
      <w:r/>
    </w:p>
    <w:p w14:paraId="18B1134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2863C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5D5A43D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material no fechamento;</w:t>
      </w:r>
      <w:r/>
    </w:p>
    <w:p w14:paraId="7202C30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 de dados offline;</w:t>
      </w:r>
      <w:r/>
    </w:p>
    <w:p w14:paraId="591B24E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sistema no período original;</w:t>
      </w:r>
      <w:r/>
    </w:p>
    <w:p w14:paraId="2BAD870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 posterior;</w:t>
      </w:r>
      <w:r/>
    </w:p>
    <w:p w14:paraId="39A60B9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reconhecimento de jornada não computada.</w:t>
      </w:r>
      <w:r/>
    </w:p>
    <w:p w14:paraId="44FF47A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10D7E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0C8BF9B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aprovar ajuste compensatório;</w:t>
      </w:r>
      <w:r/>
    </w:p>
    <w:p w14:paraId="1B781F0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 alteração retroativa;</w:t>
      </w:r>
      <w:r/>
    </w:p>
    <w:p w14:paraId="18A2421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autorizar compensação futura;</w:t>
      </w:r>
      <w:r/>
    </w:p>
    <w:p w14:paraId="2DBF0D5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folha original sem alterações;</w:t>
      </w:r>
      <w:r/>
    </w:p>
    <w:p w14:paraId="1E5D3B5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evento corretivo formal.</w:t>
      </w:r>
      <w:r/>
    </w:p>
    <w:p w14:paraId="6AB308B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65F18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5B2B93A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criação de delta entre versões;</w:t>
      </w:r>
      <w:r/>
    </w:p>
    <w:p w14:paraId="593194C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em competências futuras;</w:t>
      </w:r>
      <w:r/>
    </w:p>
    <w:p w14:paraId="22DB274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manutenção do histórico original intacto;</w:t>
      </w:r>
      <w:r/>
    </w:p>
    <w:p w14:paraId="573FCC5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de trilha de correção.</w:t>
      </w:r>
      <w:r/>
    </w:p>
    <w:p w14:paraId="31B1BC8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040A3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0843E27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receber créditos ou débitos compensatórios;</w:t>
      </w:r>
      <w:r/>
    </w:p>
    <w:p w14:paraId="390FCC6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ajustado sem reescrever histórico;</w:t>
      </w:r>
      <w:r/>
    </w:p>
    <w:p w14:paraId="07E0C56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versões distintas de cálculo.</w:t>
      </w:r>
      <w:r/>
    </w:p>
    <w:p w14:paraId="635BBC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05958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46ED984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alterar competência fechada;</w:t>
      </w:r>
      <w:r/>
    </w:p>
    <w:p w14:paraId="248E1CC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ajustes como camadas derivadas;</w:t>
      </w:r>
      <w:r/>
    </w:p>
    <w:p w14:paraId="40D1614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múltiplas versões de cálculo;</w:t>
      </w:r>
      <w:r/>
    </w:p>
    <w:p w14:paraId="10F97EE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consistência entre versões.</w:t>
      </w:r>
      <w:r/>
    </w:p>
    <w:p w14:paraId="321352C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26E39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0F0E943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tratar alterações como eventos novos;</w:t>
      </w:r>
      <w:r/>
    </w:p>
    <w:p w14:paraId="34CF8F3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original deve permanecer imutável;</w:t>
      </w:r>
      <w:r/>
    </w:p>
    <w:p w14:paraId="14114C5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devem ser auditáveis e referenciais.</w:t>
      </w:r>
      <w:r/>
    </w:p>
    <w:p w14:paraId="344B62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7532E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50203B9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reescrita de histórico fechado;</w:t>
      </w:r>
      <w:r/>
    </w:p>
    <w:p w14:paraId="0C97A25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rastreabilidade entre versões;</w:t>
      </w:r>
      <w:r/>
    </w:p>
    <w:p w14:paraId="0A6353A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duplicação de impacto financeiro;</w:t>
      </w:r>
      <w:r/>
    </w:p>
    <w:p w14:paraId="259CB34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confusão entre correção e edição;</w:t>
      </w:r>
      <w:r/>
    </w:p>
    <w:p w14:paraId="423A83D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reabertura informal sem trilha.</w:t>
      </w:r>
      <w:r/>
    </w:p>
    <w:p w14:paraId="3CA671B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6871C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76E7EE4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parcial versus integral;</w:t>
      </w:r>
      <w:r/>
    </w:p>
    <w:p w14:paraId="54E16D9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correção legítima versus reinterpretação;</w:t>
      </w:r>
      <w:r/>
    </w:p>
    <w:p w14:paraId="5515F7E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retroativo versus compensatório;</w:t>
      </w:r>
      <w:r/>
    </w:p>
    <w:p w14:paraId="587A66B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correções concorrentes.</w:t>
      </w:r>
      <w:r/>
    </w:p>
    <w:p w14:paraId="02E3F51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0598EE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06B2300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imutabilidade de competências fechadas;</w:t>
      </w:r>
      <w:r/>
    </w:p>
    <w:p w14:paraId="19D4233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 de correção por eventos derivados;</w:t>
      </w:r>
      <w:r/>
    </w:p>
    <w:p w14:paraId="1A59AC0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histórica completa.</w:t>
      </w:r>
      <w:r/>
    </w:p>
    <w:p w14:paraId="0842C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62AA8FE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alterações pós-fechamento;</w:t>
      </w:r>
      <w:r/>
    </w:p>
    <w:p w14:paraId="092B61C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financeira e temporal;</w:t>
      </w:r>
      <w:r/>
    </w:p>
    <w:p w14:paraId="4AE5F74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total de mudanças.</w:t>
      </w:r>
      <w:r/>
    </w:p>
    <w:p w14:paraId="77906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2C0C1C2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auditoria;</w:t>
      </w:r>
      <w:r/>
    </w:p>
    <w:p w14:paraId="6DC0B16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horas;</w:t>
      </w:r>
      <w:r/>
    </w:p>
    <w:p w14:paraId="5317822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de folha;</w:t>
      </w:r>
      <w:r/>
    </w:p>
    <w:p w14:paraId="72BFBC9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dados;</w:t>
      </w:r>
      <w:r/>
    </w:p>
    <w:p w14:paraId="751613A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histórica;</w:t>
      </w:r>
      <w:r/>
    </w:p>
    <w:p w14:paraId="6FE035D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correções compensatórias.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6905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A1CC3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4BA16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AA9B6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47F08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2AF8C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2026-05-18T19:58:52Z</dcterms:modified>
</cp:coreProperties>
</file>