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For complete control over terminal formatting, Rich offers a Console class. Most applications will require a single Console instance, so you may want to create one at the module level or as an attribute of your top-level object. For example, you could add a file called “console.py” to your project:</w:t>
            </w:r>
          </w:p>
        </w:tc>
        <w:tc>
          <w:tcPr>
            <w:tcW w:type="dxa" w:w="4320"/>
          </w:tcPr>
          <w:p>
            <w:r>
              <w:t>text 2</w:t>
            </w:r>
          </w:p>
        </w:tc>
      </w:tr>
      <w:tr>
        <w:tc>
          <w:tcPr>
            <w:tcW w:type="dxa" w:w="4320"/>
          </w:tcPr>
          <w:p>
            <w:r>
              <w:t>For complete control over terminal formatting, Rich offers a Console class. Most applications will require a single Console instance, so you may want to create one at the module level or as an attribute of your top-level object. For example, you could add a file called “console.py” to your project:</w:t>
            </w:r>
          </w:p>
        </w:tc>
        <w:tc>
          <w:tcPr>
            <w:tcW w:type="dxa" w:w="4320"/>
          </w:tcPr>
          <w:p>
            <w:r>
              <w:t>The console object handles the mechanics of generating ANSI escape sequences for color and style. It will auto-detect the capabilities of the terminal and convert colors if necessary.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