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WHITE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4px"/>
                <w:color w:val="000000"/>
              </w:rPr>
              <w:t xml:space="default">ID</w:t>
            </w:r>
          </w:p>
        </w:tc>
        <w:tc>
          <w:tcPr>
            <w:tcBorders>
              <w:top w:val="single" w:sz="16" w:space="0" w:color="WHITE"/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4px"/>
                <w:color w:val="000000"/>
              </w:rPr>
              <w:t xml:space="default">
                protein source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WHITE"/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4px"/>
                <w:color w:val="000000"/>
              </w:rPr>
              <w:t xml:space="default">
                texture
                <w:rPr>
                  <w:vertAlign w:val="superscript"/>
                  <w:i>true</w:i>
                  <w:t xml:space="default">2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WHITE"/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4px"/>
                <w:color w:val="000000"/>
              </w:rPr>
              <w:t xml:space="default">
                shelf life
                <w:rPr>
                  <w:vertAlign w:val="superscript"/>
                  <w:i>true</w:i>
                  <w:t xml:space="default">3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WHITE"/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4px"/>
                <w:color w:val="000000"/>
              </w:rPr>
              <w:t xml:space="default">
                cooking time
                <w:rPr>
                  <w:vertAlign w:val="superscript"/>
                  <w:i>true</w:i>
                  <w:t xml:space="default">4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WHITE"/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4px"/>
                <w:color w:val="000000"/>
              </w:rPr>
              <w:t xml:space="default">no. of ingredients</w:t>
            </w:r>
          </w:p>
        </w:tc>
        <w:tc>
          <w:tcPr>
            <w:tcBorders>
              <w:top w:val="single" w:sz="16" w:space="0" w:color="WHITE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4px"/>
                <w:color w:val="000000"/>
              </w:rPr>
              <w:t xml:space="default">additional labelling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Manufacturer 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A1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minced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9 d to ed (0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7-8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consume only thoroughly heated; MAP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A4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minced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2 d to ed (0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5-8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consume only thoroughly heated; MAP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Manufacturer 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A2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minced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6 d to bbd (1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3-5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raw; consume only thoroughly heated; MAP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A3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minced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3 d to bbd (0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4-6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A5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minced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14 d to bbd (1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A7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minced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13 d to bbd (1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2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A8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minced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6 d to bbd (1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3-5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consume only thoroughly heated; MAP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D2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fibrous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7 d to bbd (1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D4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fibrous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28 d to bbd (1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3-5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D5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minced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12 d to bbd (1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pre-heated; MAP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fibrous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14 d to bbd (1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3-5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D7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fibrous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12 d to bbd (1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3-5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D8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fibrous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28 d to bbd (1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3-5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MAP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Manufacturer 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A6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minced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29 d to bbd (2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3-5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B8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soybean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minced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22 d to bbd (2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3-5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Manufacturer 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B1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soybean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minced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52 d to bbd (3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4-6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B3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soybean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minced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10 d to bbd (3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4-6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MAP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Manufacturer 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B2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soybean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minced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5 d to ed (-)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7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raw; consume only thoroughly heated; frozen once; MAP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B6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soybean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minced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3 d to ed (-)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8-10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raw; consume only thoroughly heated; frozen once; MAP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B7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soybean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minced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3 d to ed (-)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12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raw; consume only thoroughly heated; frozen once; MAP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soybean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fibrous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13 d to ed (-)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5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pre-heated; frozen once; MAP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soybean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minced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18 d to ed (-)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5-7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pre-heated; frozen once; MAP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C3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soybean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fibrous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10 d to ed (-)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4-7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pre-heated; frozen once; MAP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C4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soybean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fibrous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24 d to ed (-)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4-7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pre-heated; frozen once; MAP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Manufacturer 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
                B4*
                <w:rPr>
                  <w:vertAlign w:val="superscript"/>
                  <w:i>true</w:i>
                  <w:t xml:space="default">5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soybean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fibrous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174 d to bbd (2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6-8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consume only thoroughly heated; frozen once;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
                B5*
                <w:rPr>
                  <w:vertAlign w:val="superscript"/>
                  <w:i>true</w:i>
                  <w:t xml:space="default">5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soybean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fibrous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119 d to bbd (2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6-8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consume only thoroughly heated; frozen once;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Manufacturer 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C5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soybean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fibrous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0 d to bbd (-)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4-5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pre-heated; consume only thoroughly heated; MAP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C6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soybean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fibrous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0 d to bbd (-)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4-5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pre-heated; consume only thoroughly heated; MAP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C7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soybean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fibrous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0 d to bbd (-)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4-5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pre-heated; consume only thoroughly heated; MAP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Manufacturer 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C8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soybean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fibrous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8 d to bbd (1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5 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consume only thoroughly heated; MAP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Manufacturer 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minced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10 d to bbd (1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Bloomsbury" w:hAnsi="Bloomsbury"/>
                <w:sz w:val="16px"/>
                <w:color w:val="000000"/>
              </w:rPr>
              <w:t xml:space="default">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pea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fibrous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7 d to bbd (1 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8px"/>
              </w:rPr>
              <w:t xml:space="default">MAP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Protein basis of the examined product. Only pea or soybean protein products were selected for the study.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2</w:t>
            </w:r>
            <w:r>
              <w:rPr>
                <w:rFonts w:ascii="Calibri" w:hAnsi="Calibri"/>
                <w:sz w:val="20"/>
                <w:vertAlign w:val="baseline"/>
              </w:rPr>
              <w:t xml:space="default">product designation. Products with a minced 'meat' basis (i.e. minced meat, burger, cevapcici, sausages) were additionally classified as 'minced', products immitating pieces of meat or a meat structure (i.e. fillets, steaks, chunks, kebab) were classified as 'fibrous'.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3</w:t>
            </w:r>
            <w:r>
              <w:rPr>
                <w:rFonts w:ascii="Calibri" w:hAnsi="Calibri"/>
                <w:sz w:val="20"/>
                <w:vertAlign w:val="baseline"/>
              </w:rPr>
              <w:t xml:space="default">days to expiration date (ed) or best before date (bbd) at sampling. In brackets: consume within x days after opening.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4</w:t>
            </w:r>
            <w:r>
              <w:rPr>
                <w:rFonts w:ascii="Calibri" w:hAnsi="Calibri"/>
                <w:sz w:val="20"/>
                <w:vertAlign w:val="baseline"/>
              </w:rPr>
              <w:t xml:space="default">Recommended cooking time. If label said (e.g.) 2 minutes per side, the recommended cooking time were doubled to 4 minutes for this table. 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5</w:t>
            </w:r>
            <w:r>
              <w:rPr>
                <w:rFonts w:ascii="Calibri" w:hAnsi="Calibri"/>
                <w:sz w:val="20"/>
                <w:vertAlign w:val="baseline"/>
              </w:rPr>
              <w:t xml:space="default">frozen product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2022-10-18T08:36:28Z</dcterms:created>
  <dcterms:modified xsi:type="dcterms:W3CDTF">2022-10-18T08:36:28Z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