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member-terms-of-use"/>
    <w:p>
      <w:pPr>
        <w:pStyle w:val="Heading1"/>
      </w:pPr>
      <w:r>
        <w:t xml:space="preserve">Member Terms of Use</w:t>
      </w:r>
    </w:p>
    <w:p>
      <w:pPr>
        <w:pStyle w:val="FirstParagraph"/>
      </w:pPr>
      <w:r>
        <w:rPr>
          <w:bCs/>
          <w:b/>
        </w:rPr>
        <w:t xml:space="preserve">LoyaltyOS — End User Agreement</w:t>
      </w:r>
    </w:p>
    <w:p>
      <w:pPr>
        <w:pStyle w:val="BodyText"/>
      </w:pPr>
      <w:r>
        <w:t xml:space="preserve">Effective Date: April 7, 2026 | Version: 1.0</w:t>
      </w:r>
    </w:p>
    <w:p>
      <w:r>
        <w:pict>
          <v:rect style="width:0;height:1.5pt" o:hralign="center" o:hrstd="t" o:hr="t"/>
        </w:pict>
      </w:r>
    </w:p>
    <w:p>
      <w:pPr>
        <w:pStyle w:val="FirstParagraph"/>
      </w:pPr>
      <w:r>
        <w:rPr>
          <w:bCs/>
          <w:b/>
        </w:rPr>
        <w:t xml:space="preserve">IMPORTANT LEGAL NOTICE</w:t>
      </w:r>
    </w:p>
    <w:p>
      <w:pPr>
        <w:pStyle w:val="BodyText"/>
      </w:pPr>
      <w:r>
        <w:t xml:space="preserve">This is a working draft prepared for attorney review. LoyalBase LLC strongly recommends having a licensed Florida attorney review and finalize these Member Terms before publication. This document is designed to complement the existing LoyaltyOS Privacy Policy (v1.0) and Terms of Service (v1.0).</w:t>
      </w:r>
    </w:p>
    <w:p>
      <w:r>
        <w:pict>
          <v:rect style="width:0;height:1.5pt" o:hralign="center" o:hrstd="t" o:hr="t"/>
        </w:pict>
      </w:r>
    </w:p>
    <w:bookmarkStart w:id="20" w:name="what-this-agreement-covers"/>
    <w:p>
      <w:pPr>
        <w:pStyle w:val="Heading2"/>
      </w:pPr>
      <w:r>
        <w:t xml:space="preserve">1. What This Agreement Covers</w:t>
      </w:r>
    </w:p>
    <w:p>
      <w:pPr>
        <w:pStyle w:val="FirstParagraph"/>
      </w:pPr>
      <w:r>
        <w:t xml:space="preserve">These Member Terms of Use (</w:t>
      </w:r>
      <w:r>
        <w:t xml:space="preserve">“</w:t>
      </w:r>
      <w:r>
        <w:t xml:space="preserve">Member Terms</w:t>
      </w:r>
      <w:r>
        <w:t xml:space="preserve">”</w:t>
      </w:r>
      <w:r>
        <w:t xml:space="preserve">) govern your use of loyalty program applications (</w:t>
      </w:r>
      <w:r>
        <w:t xml:space="preserve">“</w:t>
      </w:r>
      <w:r>
        <w:t xml:space="preserve">Member App</w:t>
      </w:r>
      <w:r>
        <w:t xml:space="preserve">”</w:t>
      </w:r>
      <w:r>
        <w:t xml:space="preserve">) powered by the LoyaltyOS platform. When you create an account or participate in a loyalty program through a Member App, you agree to these Member Terms.</w:t>
      </w:r>
    </w:p>
    <w:p>
      <w:pPr>
        <w:pStyle w:val="BodyText"/>
      </w:pPr>
      <w:r>
        <w:t xml:space="preserve">The Member App you use is operated by a business (</w:t>
      </w:r>
      <w:r>
        <w:t xml:space="preserve">“</w:t>
      </w:r>
      <w:r>
        <w:t xml:space="preserve">Business</w:t>
      </w:r>
      <w:r>
        <w:t xml:space="preserve">”</w:t>
      </w:r>
      <w:r>
        <w:t xml:space="preserve"> </w:t>
      </w:r>
      <w:r>
        <w:t xml:space="preserve">or</w:t>
      </w:r>
      <w:r>
        <w:t xml:space="preserve"> </w:t>
      </w:r>
      <w:r>
        <w:t xml:space="preserve">“</w:t>
      </w:r>
      <w:r>
        <w:t xml:space="preserve">Merchant</w:t>
      </w:r>
      <w:r>
        <w:t xml:space="preserve">”</w:t>
      </w:r>
      <w:r>
        <w:t xml:space="preserve">) that has subscribed to the LoyaltyOS platform. LoyalBase LLC (</w:t>
      </w:r>
      <w:r>
        <w:t xml:space="preserve">“</w:t>
      </w:r>
      <w:r>
        <w:t xml:space="preserve">LoyaltyOS,</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or</w:t>
      </w:r>
      <w:r>
        <w:t xml:space="preserve"> </w:t>
      </w:r>
      <w:r>
        <w:t xml:space="preserve">“</w:t>
      </w:r>
      <w:r>
        <w:t xml:space="preserve">our</w:t>
      </w:r>
      <w:r>
        <w:t xml:space="preserve">”</w:t>
      </w:r>
      <w:r>
        <w:t xml:space="preserve">) provides the technology that powers the Member App on behalf of the Business.</w:t>
      </w:r>
    </w:p>
    <w:bookmarkEnd w:id="20"/>
    <w:bookmarkStart w:id="21" w:name="who-controls-your-data"/>
    <w:p>
      <w:pPr>
        <w:pStyle w:val="Heading2"/>
      </w:pPr>
      <w:r>
        <w:t xml:space="preserve">2. Who Controls Your Data</w:t>
      </w:r>
    </w:p>
    <w:p>
      <w:pPr>
        <w:pStyle w:val="FirstParagraph"/>
      </w:pPr>
      <w:r>
        <w:t xml:space="preserve">Your Business is responsible for deciding what data is collected about you and how it is used in connection with their loyalty program. LoyaltyOS processes your data on behalf of the Business as a technology provider.</w:t>
      </w:r>
    </w:p>
    <w:p>
      <w:pPr>
        <w:pStyle w:val="BodyText"/>
      </w:pPr>
      <w:r>
        <w:t xml:space="preserve">This means:</w:t>
      </w:r>
    </w:p>
    <w:p>
      <w:pPr>
        <w:numPr>
          <w:ilvl w:val="0"/>
          <w:numId w:val="1001"/>
        </w:numPr>
        <w:pStyle w:val="Compact"/>
      </w:pPr>
      <w:r>
        <w:t xml:space="preserve">The Business is the</w:t>
      </w:r>
      <w:r>
        <w:t xml:space="preserve"> </w:t>
      </w:r>
      <w:r>
        <w:t xml:space="preserve">“</w:t>
      </w:r>
      <w:r>
        <w:t xml:space="preserve">data controller</w:t>
      </w:r>
      <w:r>
        <w:t xml:space="preserve">”</w:t>
      </w:r>
      <w:r>
        <w:t xml:space="preserve"> </w:t>
      </w:r>
      <w:r>
        <w:t xml:space="preserve">— they decide why and how your data is used for their loyalty program.</w:t>
      </w:r>
    </w:p>
    <w:p>
      <w:pPr>
        <w:numPr>
          <w:ilvl w:val="0"/>
          <w:numId w:val="1001"/>
        </w:numPr>
        <w:pStyle w:val="Compact"/>
      </w:pPr>
      <w:r>
        <w:t xml:space="preserve">LoyalBase is the</w:t>
      </w:r>
      <w:r>
        <w:t xml:space="preserve"> </w:t>
      </w:r>
      <w:r>
        <w:t xml:space="preserve">“</w:t>
      </w:r>
      <w:r>
        <w:t xml:space="preserve">data processor</w:t>
      </w:r>
      <w:r>
        <w:t xml:space="preserve">”</w:t>
      </w:r>
      <w:r>
        <w:t xml:space="preserve"> </w:t>
      </w:r>
      <w:r>
        <w:t xml:space="preserve">— we store and process your data only as needed to operate the platform on the Business’s behalf.</w:t>
      </w:r>
    </w:p>
    <w:p>
      <w:pPr>
        <w:numPr>
          <w:ilvl w:val="0"/>
          <w:numId w:val="1001"/>
        </w:numPr>
        <w:pStyle w:val="Compact"/>
      </w:pPr>
      <w:r>
        <w:t xml:space="preserve">Questions about how a specific Business uses your loyalty data should be directed to that Business.</w:t>
      </w:r>
    </w:p>
    <w:bookmarkEnd w:id="21"/>
    <w:bookmarkStart w:id="22" w:name="information-we-collect"/>
    <w:p>
      <w:pPr>
        <w:pStyle w:val="Heading2"/>
      </w:pPr>
      <w:r>
        <w:t xml:space="preserve">3. Information We Collect</w:t>
      </w:r>
    </w:p>
    <w:p>
      <w:pPr>
        <w:pStyle w:val="FirstParagraph"/>
      </w:pPr>
      <w:r>
        <w:t xml:space="preserve">When you use a Member App, the following information may be collected and processed:</w:t>
      </w:r>
    </w:p>
    <w:p>
      <w:pPr>
        <w:pStyle w:val="BodyText"/>
      </w:pPr>
      <w:r>
        <w:rPr>
          <w:bCs/>
          <w:b/>
        </w:rPr>
        <w:t xml:space="preserve">Information you provide directly:</w:t>
      </w:r>
    </w:p>
    <w:p>
      <w:pPr>
        <w:numPr>
          <w:ilvl w:val="0"/>
          <w:numId w:val="1002"/>
        </w:numPr>
        <w:pStyle w:val="Compact"/>
      </w:pPr>
      <w:r>
        <w:t xml:space="preserve">Your name, email address, and password when you create an account</w:t>
      </w:r>
    </w:p>
    <w:p>
      <w:pPr>
        <w:numPr>
          <w:ilvl w:val="0"/>
          <w:numId w:val="1002"/>
        </w:numPr>
        <w:pStyle w:val="Compact"/>
      </w:pPr>
      <w:r>
        <w:t xml:space="preserve">Your phone number (if you choose to provide it)</w:t>
      </w:r>
    </w:p>
    <w:p>
      <w:pPr>
        <w:numPr>
          <w:ilvl w:val="0"/>
          <w:numId w:val="1002"/>
        </w:numPr>
        <w:pStyle w:val="Compact"/>
      </w:pPr>
      <w:r>
        <w:t xml:space="preserve">Your date of birth (if you choose to provide it)</w:t>
      </w:r>
    </w:p>
    <w:p>
      <w:pPr>
        <w:numPr>
          <w:ilvl w:val="0"/>
          <w:numId w:val="1002"/>
        </w:numPr>
        <w:pStyle w:val="Compact"/>
      </w:pPr>
      <w:r>
        <w:t xml:space="preserve">Your notification preferences and communication opt-ins</w:t>
      </w:r>
    </w:p>
    <w:p>
      <w:pPr>
        <w:pStyle w:val="FirstParagraph"/>
      </w:pPr>
      <w:r>
        <w:rPr>
          <w:bCs/>
          <w:b/>
        </w:rPr>
        <w:t xml:space="preserve">Information generated through your participation:</w:t>
      </w:r>
    </w:p>
    <w:p>
      <w:pPr>
        <w:numPr>
          <w:ilvl w:val="0"/>
          <w:numId w:val="1003"/>
        </w:numPr>
        <w:pStyle w:val="Compact"/>
      </w:pPr>
      <w:r>
        <w:t xml:space="preserve">Points balance, tier status, and rewards earned</w:t>
      </w:r>
    </w:p>
    <w:p>
      <w:pPr>
        <w:numPr>
          <w:ilvl w:val="0"/>
          <w:numId w:val="1003"/>
        </w:numPr>
        <w:pStyle w:val="Compact"/>
      </w:pPr>
      <w:r>
        <w:t xml:space="preserve">Transaction history and reward redemptions</w:t>
      </w:r>
    </w:p>
    <w:p>
      <w:pPr>
        <w:numPr>
          <w:ilvl w:val="0"/>
          <w:numId w:val="1003"/>
        </w:numPr>
        <w:pStyle w:val="Compact"/>
      </w:pPr>
      <w:r>
        <w:t xml:space="preserve">Visit history and check-in timestamps</w:t>
      </w:r>
    </w:p>
    <w:p>
      <w:pPr>
        <w:numPr>
          <w:ilvl w:val="0"/>
          <w:numId w:val="1003"/>
        </w:numPr>
        <w:pStyle w:val="Compact"/>
      </w:pPr>
      <w:r>
        <w:t xml:space="preserve">Challenge and mission progress</w:t>
      </w:r>
    </w:p>
    <w:p>
      <w:pPr>
        <w:numPr>
          <w:ilvl w:val="0"/>
          <w:numId w:val="1003"/>
        </w:numPr>
        <w:pStyle w:val="Compact"/>
      </w:pPr>
      <w:r>
        <w:t xml:space="preserve">Referral activity (only with your explicit consent)</w:t>
      </w:r>
    </w:p>
    <w:p>
      <w:pPr>
        <w:pStyle w:val="FirstParagraph"/>
      </w:pPr>
      <w:r>
        <w:rPr>
          <w:bCs/>
          <w:b/>
        </w:rPr>
        <w:t xml:space="preserve">Information collected automatically:</w:t>
      </w:r>
    </w:p>
    <w:p>
      <w:pPr>
        <w:numPr>
          <w:ilvl w:val="0"/>
          <w:numId w:val="1004"/>
        </w:numPr>
        <w:pStyle w:val="Compact"/>
      </w:pPr>
      <w:r>
        <w:t xml:space="preserve">Device type, operating system, and browser type</w:t>
      </w:r>
    </w:p>
    <w:p>
      <w:pPr>
        <w:numPr>
          <w:ilvl w:val="0"/>
          <w:numId w:val="1004"/>
        </w:numPr>
        <w:pStyle w:val="Compact"/>
      </w:pPr>
      <w:r>
        <w:t xml:space="preserve">IP address and approximate location</w:t>
      </w:r>
    </w:p>
    <w:p>
      <w:pPr>
        <w:numPr>
          <w:ilvl w:val="0"/>
          <w:numId w:val="1004"/>
        </w:numPr>
        <w:pStyle w:val="Compact"/>
      </w:pPr>
      <w:r>
        <w:t xml:space="preserve">Push notification tokens (if you enable notifications)</w:t>
      </w:r>
    </w:p>
    <w:p>
      <w:pPr>
        <w:numPr>
          <w:ilvl w:val="0"/>
          <w:numId w:val="1004"/>
        </w:numPr>
        <w:pStyle w:val="Compact"/>
      </w:pPr>
      <w:r>
        <w:t xml:space="preserve">App usage patterns and session data</w:t>
      </w:r>
    </w:p>
    <w:bookmarkEnd w:id="22"/>
    <w:bookmarkStart w:id="23" w:name="how-your-information-is-used"/>
    <w:p>
      <w:pPr>
        <w:pStyle w:val="Heading2"/>
      </w:pPr>
      <w:r>
        <w:t xml:space="preserve">4. How Your Information Is Used</w:t>
      </w:r>
    </w:p>
    <w:p>
      <w:pPr>
        <w:pStyle w:val="FirstParagraph"/>
      </w:pPr>
      <w:r>
        <w:t xml:space="preserve">Your information is used to:</w:t>
      </w:r>
    </w:p>
    <w:p>
      <w:pPr>
        <w:numPr>
          <w:ilvl w:val="0"/>
          <w:numId w:val="1005"/>
        </w:numPr>
        <w:pStyle w:val="Compact"/>
      </w:pPr>
      <w:r>
        <w:t xml:space="preserve">Operate your loyalty program account: track points, tiers, rewards, and visit history</w:t>
      </w:r>
    </w:p>
    <w:p>
      <w:pPr>
        <w:numPr>
          <w:ilvl w:val="0"/>
          <w:numId w:val="1005"/>
        </w:numPr>
        <w:pStyle w:val="Compact"/>
      </w:pPr>
      <w:r>
        <w:t xml:space="preserve">Send you notifications about your rewards, challenges, and loyalty status (with your consent)</w:t>
      </w:r>
    </w:p>
    <w:p>
      <w:pPr>
        <w:numPr>
          <w:ilvl w:val="0"/>
          <w:numId w:val="1005"/>
        </w:numPr>
        <w:pStyle w:val="Compact"/>
      </w:pPr>
      <w:r>
        <w:t xml:space="preserve">Send you promotional communications from the Business (with your consent)</w:t>
      </w:r>
    </w:p>
    <w:p>
      <w:pPr>
        <w:numPr>
          <w:ilvl w:val="0"/>
          <w:numId w:val="1005"/>
        </w:numPr>
        <w:pStyle w:val="Compact"/>
      </w:pPr>
      <w:r>
        <w:t xml:space="preserve">Generate analytics and reports for the Business about their loyalty program</w:t>
      </w:r>
    </w:p>
    <w:p>
      <w:pPr>
        <w:numPr>
          <w:ilvl w:val="0"/>
          <w:numId w:val="1005"/>
        </w:numPr>
        <w:pStyle w:val="Compact"/>
      </w:pPr>
      <w:r>
        <w:t xml:space="preserve">Power automated campaigns such as reactivation messages or special offers configured by the Business</w:t>
      </w:r>
    </w:p>
    <w:p>
      <w:pPr>
        <w:numPr>
          <w:ilvl w:val="0"/>
          <w:numId w:val="1005"/>
        </w:numPr>
        <w:pStyle w:val="Compact"/>
      </w:pPr>
      <w:r>
        <w:t xml:space="preserve">Maintain the security and integrity of your account</w:t>
      </w:r>
    </w:p>
    <w:p>
      <w:pPr>
        <w:numPr>
          <w:ilvl w:val="0"/>
          <w:numId w:val="1005"/>
        </w:numPr>
        <w:pStyle w:val="Compact"/>
      </w:pPr>
      <w:r>
        <w:t xml:space="preserve">Comply with legal obligations</w:t>
      </w:r>
    </w:p>
    <w:bookmarkEnd w:id="23"/>
    <w:bookmarkStart w:id="24" w:name="third-party-service-providers"/>
    <w:p>
      <w:pPr>
        <w:pStyle w:val="Heading2"/>
      </w:pPr>
      <w:r>
        <w:t xml:space="preserve">5. Third-Party Service Providers</w:t>
      </w:r>
    </w:p>
    <w:p>
      <w:pPr>
        <w:pStyle w:val="FirstParagraph"/>
      </w:pPr>
      <w:r>
        <w:t xml:space="preserve">To operate the platform, LoyaltyOS uses the following third-party service providers who may process your data:</w:t>
      </w:r>
    </w:p>
    <w:p>
      <w:pPr>
        <w:numPr>
          <w:ilvl w:val="0"/>
          <w:numId w:val="1006"/>
        </w:numPr>
        <w:pStyle w:val="Compact"/>
      </w:pPr>
      <w:r>
        <w:rPr>
          <w:bCs/>
          <w:b/>
        </w:rPr>
        <w:t xml:space="preserve">Supabase, Inc.</w:t>
      </w:r>
      <w:r>
        <w:t xml:space="preserve"> </w:t>
      </w:r>
      <w:r>
        <w:t xml:space="preserve">— Database hosting and authentication</w:t>
      </w:r>
    </w:p>
    <w:p>
      <w:pPr>
        <w:numPr>
          <w:ilvl w:val="0"/>
          <w:numId w:val="1006"/>
        </w:numPr>
        <w:pStyle w:val="Compact"/>
      </w:pPr>
      <w:r>
        <w:rPr>
          <w:bCs/>
          <w:b/>
        </w:rPr>
        <w:t xml:space="preserve">Vercel, Inc.</w:t>
      </w:r>
      <w:r>
        <w:t xml:space="preserve"> </w:t>
      </w:r>
      <w:r>
        <w:t xml:space="preserve">— Application hosting</w:t>
      </w:r>
    </w:p>
    <w:p>
      <w:pPr>
        <w:numPr>
          <w:ilvl w:val="0"/>
          <w:numId w:val="1006"/>
        </w:numPr>
        <w:pStyle w:val="Compact"/>
      </w:pPr>
      <w:r>
        <w:rPr>
          <w:bCs/>
          <w:b/>
        </w:rPr>
        <w:t xml:space="preserve">Stripe, Inc.</w:t>
      </w:r>
      <w:r>
        <w:t xml:space="preserve"> </w:t>
      </w:r>
      <w:r>
        <w:t xml:space="preserve">— Payment processing (if applicable)</w:t>
      </w:r>
    </w:p>
    <w:p>
      <w:pPr>
        <w:numPr>
          <w:ilvl w:val="0"/>
          <w:numId w:val="1006"/>
        </w:numPr>
        <w:pStyle w:val="Compact"/>
      </w:pPr>
      <w:r>
        <w:rPr>
          <w:bCs/>
          <w:b/>
        </w:rPr>
        <w:t xml:space="preserve">OneSignal, Inc.</w:t>
      </w:r>
      <w:r>
        <w:t xml:space="preserve"> </w:t>
      </w:r>
      <w:r>
        <w:t xml:space="preserve">— Push notifications</w:t>
      </w:r>
    </w:p>
    <w:p>
      <w:pPr>
        <w:numPr>
          <w:ilvl w:val="0"/>
          <w:numId w:val="1006"/>
        </w:numPr>
        <w:pStyle w:val="Compact"/>
      </w:pPr>
      <w:r>
        <w:rPr>
          <w:bCs/>
          <w:b/>
        </w:rPr>
        <w:t xml:space="preserve">Resend, Inc.</w:t>
      </w:r>
      <w:r>
        <w:t xml:space="preserve"> </w:t>
      </w:r>
      <w:r>
        <w:t xml:space="preserve">— Email delivery</w:t>
      </w:r>
    </w:p>
    <w:p>
      <w:pPr>
        <w:numPr>
          <w:ilvl w:val="0"/>
          <w:numId w:val="1006"/>
        </w:numPr>
        <w:pStyle w:val="Compact"/>
      </w:pPr>
      <w:r>
        <w:rPr>
          <w:bCs/>
          <w:b/>
        </w:rPr>
        <w:t xml:space="preserve">Sentry, Inc.</w:t>
      </w:r>
      <w:r>
        <w:t xml:space="preserve"> </w:t>
      </w:r>
      <w:r>
        <w:t xml:space="preserve">— Error monitoring (anonymized data only)</w:t>
      </w:r>
    </w:p>
    <w:p>
      <w:pPr>
        <w:pStyle w:val="FirstParagraph"/>
      </w:pPr>
      <w:r>
        <w:t xml:space="preserve">These providers are contractually required to process your data only as directed by LoyalBase and to maintain appropriate security measures. LoyaltyOS does not sell, rent, or trade your personal information to third parties for their marketing purposes.</w:t>
      </w:r>
    </w:p>
    <w:bookmarkEnd w:id="24"/>
    <w:bookmarkStart w:id="25" w:name="Xfc9001936a490a9d6bb0b10e21039eb465d9b2b"/>
    <w:p>
      <w:pPr>
        <w:pStyle w:val="Heading2"/>
      </w:pPr>
      <w:r>
        <w:t xml:space="preserve">6. Push Notifications and Email Communications</w:t>
      </w:r>
    </w:p>
    <w:p>
      <w:pPr>
        <w:pStyle w:val="FirstParagraph"/>
      </w:pPr>
      <w:r>
        <w:rPr>
          <w:bCs/>
          <w:b/>
        </w:rPr>
        <w:t xml:space="preserve">Push Notifications:</w:t>
      </w:r>
      <w:r>
        <w:t xml:space="preserve"> </w:t>
      </w:r>
      <w:r>
        <w:t xml:space="preserve">If you enable push notifications on your device, you may receive messages about your rewards, challenges, promotions, and loyalty status. You can disable push notifications at any time through your device settings or within the Member App.</w:t>
      </w:r>
    </w:p>
    <w:p>
      <w:pPr>
        <w:pStyle w:val="BodyText"/>
      </w:pPr>
      <w:r>
        <w:rPr>
          <w:bCs/>
          <w:b/>
        </w:rPr>
        <w:t xml:space="preserve">Email Communications:</w:t>
      </w:r>
      <w:r>
        <w:t xml:space="preserve"> </w:t>
      </w:r>
      <w:r>
        <w:t xml:space="preserve">With your consent, you may receive emails related to your loyalty account, including transactional messages (points earned, rewards available) and promotional messages from the Business. Every promotional email includes an unsubscribe link. Unsubscribe requests are honored within ten (10) business days.</w:t>
      </w:r>
    </w:p>
    <w:p>
      <w:pPr>
        <w:pStyle w:val="BodyText"/>
      </w:pPr>
      <w:r>
        <w:t xml:space="preserve">All electronic communications comply with the CAN-SPAM Act (15 U.S.C. § 7701) and the Telephone Consumer Protection Act (TCPA) where applicable.</w:t>
      </w:r>
    </w:p>
    <w:bookmarkEnd w:id="25"/>
    <w:bookmarkStart w:id="26" w:name="your-rights"/>
    <w:p>
      <w:pPr>
        <w:pStyle w:val="Heading2"/>
      </w:pPr>
      <w:r>
        <w:t xml:space="preserve">7. Your Rights</w:t>
      </w:r>
    </w:p>
    <w:p>
      <w:pPr>
        <w:pStyle w:val="FirstParagraph"/>
      </w:pPr>
      <w:r>
        <w:t xml:space="preserve">You have the following rights regarding your personal information:</w:t>
      </w:r>
    </w:p>
    <w:p>
      <w:pPr>
        <w:numPr>
          <w:ilvl w:val="0"/>
          <w:numId w:val="1007"/>
        </w:numPr>
        <w:pStyle w:val="Compact"/>
      </w:pPr>
      <w:r>
        <w:rPr>
          <w:bCs/>
          <w:b/>
        </w:rPr>
        <w:t xml:space="preserve">Access:</w:t>
      </w:r>
      <w:r>
        <w:t xml:space="preserve"> </w:t>
      </w:r>
      <w:r>
        <w:t xml:space="preserve">Request a copy of the personal information we hold about you.</w:t>
      </w:r>
    </w:p>
    <w:p>
      <w:pPr>
        <w:numPr>
          <w:ilvl w:val="0"/>
          <w:numId w:val="1007"/>
        </w:numPr>
        <w:pStyle w:val="Compact"/>
      </w:pPr>
      <w:r>
        <w:rPr>
          <w:bCs/>
          <w:b/>
        </w:rPr>
        <w:t xml:space="preserve">Correction:</w:t>
      </w:r>
      <w:r>
        <w:t xml:space="preserve"> </w:t>
      </w:r>
      <w:r>
        <w:t xml:space="preserve">Request correction of inaccurate or incomplete information.</w:t>
      </w:r>
    </w:p>
    <w:p>
      <w:pPr>
        <w:numPr>
          <w:ilvl w:val="0"/>
          <w:numId w:val="1007"/>
        </w:numPr>
        <w:pStyle w:val="Compact"/>
      </w:pPr>
      <w:r>
        <w:rPr>
          <w:bCs/>
          <w:b/>
        </w:rPr>
        <w:t xml:space="preserve">Deletion:</w:t>
      </w:r>
      <w:r>
        <w:t xml:space="preserve"> </w:t>
      </w:r>
      <w:r>
        <w:t xml:space="preserve">Request deletion of your personal information, subject to legal retention requirements.</w:t>
      </w:r>
    </w:p>
    <w:p>
      <w:pPr>
        <w:numPr>
          <w:ilvl w:val="0"/>
          <w:numId w:val="1007"/>
        </w:numPr>
        <w:pStyle w:val="Compact"/>
      </w:pPr>
      <w:r>
        <w:rPr>
          <w:bCs/>
          <w:b/>
        </w:rPr>
        <w:t xml:space="preserve">Portability:</w:t>
      </w:r>
      <w:r>
        <w:t xml:space="preserve"> </w:t>
      </w:r>
      <w:r>
        <w:t xml:space="preserve">Request your data in a structured, machine-readable format.</w:t>
      </w:r>
    </w:p>
    <w:p>
      <w:pPr>
        <w:numPr>
          <w:ilvl w:val="0"/>
          <w:numId w:val="1007"/>
        </w:numPr>
        <w:pStyle w:val="Compact"/>
      </w:pPr>
      <w:r>
        <w:rPr>
          <w:bCs/>
          <w:b/>
        </w:rPr>
        <w:t xml:space="preserve">Opt-Out:</w:t>
      </w:r>
      <w:r>
        <w:t xml:space="preserve"> </w:t>
      </w:r>
      <w:r>
        <w:t xml:space="preserve">Opt out of promotional communications at any time.</w:t>
      </w:r>
    </w:p>
    <w:p>
      <w:pPr>
        <w:numPr>
          <w:ilvl w:val="0"/>
          <w:numId w:val="1007"/>
        </w:numPr>
        <w:pStyle w:val="Compact"/>
      </w:pPr>
      <w:r>
        <w:rPr>
          <w:bCs/>
          <w:b/>
        </w:rPr>
        <w:t xml:space="preserve">Withdraw Consent:</w:t>
      </w:r>
      <w:r>
        <w:t xml:space="preserve"> </w:t>
      </w:r>
      <w:r>
        <w:t xml:space="preserve">Withdraw your consent to data processing at any time, which may affect your ability to participate in the loyalty program.</w:t>
      </w:r>
    </w:p>
    <w:p>
      <w:pPr>
        <w:pStyle w:val="FirstParagraph"/>
      </w:pPr>
      <w:r>
        <w:t xml:space="preserve">To exercise any of these rights, contact privacy@loyalbase.dev. We will respond within thirty (30) days.</w:t>
      </w:r>
    </w:p>
    <w:p>
      <w:pPr>
        <w:pStyle w:val="BodyText"/>
      </w:pPr>
      <w:r>
        <w:rPr>
          <w:bCs/>
          <w:b/>
        </w:rPr>
        <w:t xml:space="preserve">Florida residents</w:t>
      </w:r>
      <w:r>
        <w:t xml:space="preserve"> </w:t>
      </w:r>
      <w:r>
        <w:t xml:space="preserve">have additional rights under the Florida Information Protection Act (FIPA), Fla. Stat. § 501.171, including the right to receive notification of data breaches and to file complaints with the Florida Office of the Attorney General.</w:t>
      </w:r>
    </w:p>
    <w:bookmarkEnd w:id="26"/>
    <w:bookmarkStart w:id="27" w:name="data-security"/>
    <w:p>
      <w:pPr>
        <w:pStyle w:val="Heading2"/>
      </w:pPr>
      <w:r>
        <w:t xml:space="preserve">8. Data Security</w:t>
      </w:r>
    </w:p>
    <w:p>
      <w:pPr>
        <w:pStyle w:val="FirstParagraph"/>
      </w:pPr>
      <w:r>
        <w:t xml:space="preserve">LoyalBase implements technical and organizational security measures to protect your information, including:</w:t>
      </w:r>
    </w:p>
    <w:p>
      <w:pPr>
        <w:numPr>
          <w:ilvl w:val="0"/>
          <w:numId w:val="1008"/>
        </w:numPr>
        <w:pStyle w:val="Compact"/>
      </w:pPr>
      <w:r>
        <w:t xml:space="preserve">Encryption of data in transit (TLS 1.2 or higher) and at rest</w:t>
      </w:r>
    </w:p>
    <w:p>
      <w:pPr>
        <w:numPr>
          <w:ilvl w:val="0"/>
          <w:numId w:val="1008"/>
        </w:numPr>
        <w:pStyle w:val="Compact"/>
      </w:pPr>
      <w:r>
        <w:t xml:space="preserve">Database-level isolation between different Businesses using Row Level Security</w:t>
      </w:r>
    </w:p>
    <w:p>
      <w:pPr>
        <w:numPr>
          <w:ilvl w:val="0"/>
          <w:numId w:val="1008"/>
        </w:numPr>
        <w:pStyle w:val="Compact"/>
      </w:pPr>
      <w:r>
        <w:t xml:space="preserve">Role-based access controls and monitoring</w:t>
      </w:r>
    </w:p>
    <w:p>
      <w:pPr>
        <w:numPr>
          <w:ilvl w:val="0"/>
          <w:numId w:val="1008"/>
        </w:numPr>
        <w:pStyle w:val="Compact"/>
      </w:pPr>
      <w:r>
        <w:t xml:space="preserve">Regular security assessments</w:t>
      </w:r>
    </w:p>
    <w:p>
      <w:pPr>
        <w:pStyle w:val="FirstParagraph"/>
      </w:pPr>
      <w:r>
        <w:t xml:space="preserve">No system is 100% secure. In the event of a data breach affecting your information, we will notify affected parties as required by applicable law.</w:t>
      </w:r>
    </w:p>
    <w:bookmarkEnd w:id="27"/>
    <w:bookmarkStart w:id="28" w:name="data-retention"/>
    <w:p>
      <w:pPr>
        <w:pStyle w:val="Heading2"/>
      </w:pPr>
      <w:r>
        <w:t xml:space="preserve">9. Data Retention</w:t>
      </w:r>
    </w:p>
    <w:p>
      <w:pPr>
        <w:pStyle w:val="FirstParagraph"/>
      </w:pPr>
      <w:r>
        <w:t xml:space="preserve">Your loyalty program data is retained for the duration of the Business’s active subscription to LoyalBase plus thirty (30) days. Transaction records may be retained for up to seven (7) years for legal and tax compliance purposes. You may request deletion of your account at any time by contacting privacy@loyalbase.dev.</w:t>
      </w:r>
    </w:p>
    <w:bookmarkEnd w:id="28"/>
    <w:bookmarkStart w:id="29" w:name="childrens-privacy"/>
    <w:p>
      <w:pPr>
        <w:pStyle w:val="Heading2"/>
      </w:pPr>
      <w:r>
        <w:t xml:space="preserve">10. Children’s Privacy</w:t>
      </w:r>
    </w:p>
    <w:p>
      <w:pPr>
        <w:pStyle w:val="FirstParagraph"/>
      </w:pPr>
      <w:r>
        <w:t xml:space="preserve">The Member App is not directed to children under the age of 13. We do not knowingly collect personal information from children under 13. If you are under 13, do not create an account. If we become aware that we have collected information from a child under 13 without verifiable parental consent, we will delete that information promptly. Contact privacy@loyalbase.dev if you believe a child under 13 has created an account.</w:t>
      </w:r>
    </w:p>
    <w:bookmarkEnd w:id="29"/>
    <w:bookmarkStart w:id="30" w:name="multiple-memberships"/>
    <w:p>
      <w:pPr>
        <w:pStyle w:val="Heading2"/>
      </w:pPr>
      <w:r>
        <w:t xml:space="preserve">11. Multiple Memberships</w:t>
      </w:r>
    </w:p>
    <w:p>
      <w:pPr>
        <w:pStyle w:val="FirstParagraph"/>
      </w:pPr>
      <w:r>
        <w:t xml:space="preserve">Your LoyaltyOS account may be associated with loyalty programs from multiple Businesses. Each Business independently controls their loyalty program. Your participation in one Business’s program does not grant another Business access to your activity in a different program. Data isolation between Businesses is enforced at the database level.</w:t>
      </w:r>
    </w:p>
    <w:bookmarkEnd w:id="30"/>
    <w:bookmarkStart w:id="31" w:name="changes-to-these-terms"/>
    <w:p>
      <w:pPr>
        <w:pStyle w:val="Heading2"/>
      </w:pPr>
      <w:r>
        <w:t xml:space="preserve">12. Changes to These Terms</w:t>
      </w:r>
    </w:p>
    <w:p>
      <w:pPr>
        <w:pStyle w:val="FirstParagraph"/>
      </w:pPr>
      <w:r>
        <w:t xml:space="preserve">We may update these Member Terms from time to time. When we make material changes, we will notify you by email and/or by displaying a notice within the Member App. You will be asked to review and accept the updated terms before continuing to use the Member App. If you do not accept the updated terms, your account will remain active in read-only mode until you accept or request deletion.</w:t>
      </w:r>
    </w:p>
    <w:p>
      <w:pPr>
        <w:pStyle w:val="BodyText"/>
      </w:pPr>
      <w:r>
        <w:t xml:space="preserve">The current version and effective date are always displayed at the top of this document.</w:t>
      </w:r>
    </w:p>
    <w:bookmarkEnd w:id="31"/>
    <w:bookmarkStart w:id="32" w:name="governing-law"/>
    <w:p>
      <w:pPr>
        <w:pStyle w:val="Heading2"/>
      </w:pPr>
      <w:r>
        <w:t xml:space="preserve">13. Governing Law</w:t>
      </w:r>
    </w:p>
    <w:p>
      <w:pPr>
        <w:pStyle w:val="FirstParagraph"/>
      </w:pPr>
      <w:r>
        <w:t xml:space="preserve">These Member Terms are governed by the laws of the State of Florida, without regard to conflict of law provisions. Any disputes shall be resolved through binding arbitration administered by the American Arbitration Association in Palm Beach County, Florida.</w:t>
      </w:r>
    </w:p>
    <w:bookmarkEnd w:id="32"/>
    <w:bookmarkStart w:id="33" w:name="contact-information"/>
    <w:p>
      <w:pPr>
        <w:pStyle w:val="Heading2"/>
      </w:pPr>
      <w:r>
        <w:t xml:space="preserve">14. Contact Information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Privacy Questions</w:t>
            </w:r>
          </w:p>
        </w:tc>
        <w:tc>
          <w:tcPr/>
          <w:p>
            <w:pPr>
              <w:pStyle w:val="Compact"/>
              <w:jc w:val="left"/>
            </w:pPr>
            <w:r>
              <w:t xml:space="preserve">privacy@loyalbase.dev</w:t>
            </w:r>
          </w:p>
        </w:tc>
      </w:tr>
      <w:tr>
        <w:tc>
          <w:tcPr/>
          <w:p>
            <w:pPr>
              <w:pStyle w:val="Compact"/>
              <w:jc w:val="left"/>
            </w:pPr>
            <w:r>
              <w:rPr>
                <w:bCs/>
                <w:b/>
              </w:rPr>
              <w:t xml:space="preserve">Account Support</w:t>
            </w:r>
          </w:p>
        </w:tc>
        <w:tc>
          <w:tcPr/>
          <w:p>
            <w:pPr>
              <w:pStyle w:val="Compact"/>
              <w:jc w:val="left"/>
            </w:pPr>
            <w:r>
              <w:t xml:space="preserve">support@loyalbase.dev</w:t>
            </w:r>
          </w:p>
        </w:tc>
      </w:tr>
      <w:tr>
        <w:tc>
          <w:tcPr/>
          <w:p>
            <w:pPr>
              <w:pStyle w:val="Compact"/>
              <w:jc w:val="left"/>
            </w:pPr>
            <w:r>
              <w:rPr>
                <w:bCs/>
                <w:b/>
              </w:rPr>
              <w:t xml:space="preserve">Legal Inquiries</w:t>
            </w:r>
          </w:p>
        </w:tc>
        <w:tc>
          <w:tcPr/>
          <w:p>
            <w:pPr>
              <w:pStyle w:val="Compact"/>
              <w:jc w:val="left"/>
            </w:pPr>
            <w:r>
              <w:t xml:space="preserve">legal@loyalbase.dev | +1(561) 408-5283</w:t>
            </w:r>
          </w:p>
        </w:tc>
      </w:tr>
      <w:tr>
        <w:tc>
          <w:tcPr/>
          <w:p>
            <w:pPr>
              <w:pStyle w:val="Compact"/>
              <w:jc w:val="left"/>
            </w:pPr>
            <w:r>
              <w:rPr>
                <w:bCs/>
                <w:b/>
              </w:rPr>
              <w:t xml:space="preserve">Mailing Address</w:t>
            </w:r>
          </w:p>
        </w:tc>
        <w:tc>
          <w:tcPr/>
          <w:p>
            <w:pPr>
              <w:pStyle w:val="Compact"/>
              <w:jc w:val="left"/>
            </w:pPr>
            <w:r>
              <w:t xml:space="preserve">LoyalBase LLC — 7901 4th St N, Ste 300, St. Petersburg, FL 33702, USA</w:t>
            </w:r>
          </w:p>
        </w:tc>
      </w:tr>
    </w:tbl>
    <w:p>
      <w:r>
        <w:pict>
          <v:rect style="width:0;height:1.5pt" o:hralign="center" o:hrstd="t" o:hr="t"/>
        </w:pict>
      </w:r>
    </w:p>
    <w:p>
      <w:pPr>
        <w:pStyle w:val="FirstParagraph"/>
      </w:pPr>
      <w:r>
        <w:rPr>
          <w:bCs/>
          <w:b/>
        </w:rPr>
        <w:t xml:space="preserve">Florida Attorney General — Consumer Protection</w:t>
      </w:r>
    </w:p>
    <w:p>
      <w:pPr>
        <w:pStyle w:val="BodyText"/>
      </w:pPr>
      <w:r>
        <w:t xml:space="preserve">Consumers may contact the Florida Office of the Attorney General, Department of Legal Affairs: (850) 414-3990 | www.myfloridalegal.com | PL-01, The Capitol, Tallahassee, FL 32399-1050</w:t>
      </w:r>
    </w:p>
    <w:p>
      <w:pPr>
        <w:pStyle w:val="BodyText"/>
      </w:pPr>
      <w:r>
        <w:rPr>
          <w:bCs/>
          <w:b/>
        </w:rPr>
        <w:t xml:space="preserve">Federal Trade Commission — Privacy Complaints</w:t>
      </w:r>
    </w:p>
    <w:p>
      <w:pPr>
        <w:pStyle w:val="BodyText"/>
      </w:pPr>
      <w:r>
        <w:t xml:space="preserve">You may file a complaint with the FTC at: ftc.gov/complaint | 600 Pennsylvania Ave NW, Washington, DC 20580</w:t>
      </w:r>
    </w:p>
    <w:bookmarkEnd w:id="33"/>
    <w:bookmarkEnd w:id="34"/>
    <w:sectPr>
      <w:footerReference r:id="rId9" w:type="default"/>
      <w:pgSz w:h="15840" w:orient="portrait" w:w="12240"/>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tabs>
        <w:tab w:val="right" w:pos="9360"/>
      </w:tabs>
      <w:spacing w:before="100"/>
    </w:pPr>
    <w:r>
      <w:rPr>
        <w:rFonts w:ascii="Arial" w:cs="Arial" w:eastAsia="Arial" w:hAnsi="Arial"/>
        <w:color w:val="64748B"/>
        <w:sz w:val="17"/>
        <w:szCs w:val="17"/>
      </w:rPr>
      <w:t xml:space="preserve">LoyaltyOS — Privacy Policy v1.0  |  Confidential Draft — Consult an attorney before publishing</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080"/>
      </w:pPr>
    </w:lvl>
  </w:abstractNum>
  <w:abstractNum w15:restartNumberingAfterBreak="0" w:abstractNumId="3">
    <w:multiLevelType w:val="hybridMultilevel"/>
    <w:lvl w15:tentative="1" w:ilvl="0">
      <w:start w:val="1"/>
      <w:numFmt w:val="decimal"/>
      <w:lvlText w:val="%1."/>
      <w:lvlJc w:val="left"/>
      <w:pPr>
        <w:ind w:hanging="360" w:left="72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2">
    <w:abstractNumId w:val="2"/>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Heading1" w:type="paragraph">
    <w:name w:val="Heading 1"/>
    <w:basedOn w:val="Normal"/>
    <w:next w:val="Normal"/>
    <w:qFormat/>
    <w:pPr>
      <w:spacing w:after="80" w:before="440"/>
      <w:outlineLvl w:val="0"/>
    </w:pPr>
    <w:rPr>
      <w:rFonts w:ascii="Arial" w:cs="Arial" w:eastAsia="Arial" w:hAnsi="Arial"/>
      <w:b/>
      <w:bCs/>
      <w:color w:val="1B2A4A"/>
      <w:sz w:val="34"/>
      <w:szCs w:val="34"/>
    </w:rPr>
  </w:style>
  <w:style w:styleId="Heading2" w:type="paragraph">
    <w:name w:val="Heading 2"/>
    <w:basedOn w:val="Normal"/>
    <w:next w:val="Normal"/>
    <w:qFormat/>
    <w:pPr>
      <w:spacing w:after="60" w:before="280"/>
      <w:outlineLvl w:val="1"/>
    </w:pPr>
    <w:rPr>
      <w:rFonts w:ascii="Arial" w:cs="Arial" w:eastAsia="Arial" w:hAnsi="Arial"/>
      <w:b/>
      <w:bCs/>
      <w:color w:val="0F6E56"/>
      <w:sz w:val="26"/>
      <w:szCs w:val="26"/>
    </w:rPr>
  </w:style>
  <w:style w:styleId="Heading3" w:type="paragraph">
    <w:name w:val="Heading 3"/>
    <w:basedOn w:val="Normal"/>
    <w:next w:val="Normal"/>
    <w:qFormat/>
    <w:pPr>
      <w:spacing w:after="40" w:before="180"/>
      <w:outlineLvl w:val="2"/>
    </w:pPr>
    <w:rPr>
      <w:rFonts w:ascii="Arial" w:cs="Arial" w:eastAsia="Arial" w:hAnsi="Arial"/>
      <w:b/>
      <w:bCs/>
      <w:color w:val="334155"/>
      <w:sz w:val="22"/>
      <w:szCs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2026-04-07T18:13:48Z</dcterms:created>
  <dcterms:modified xsi:type="dcterms:W3CDTF">2026-04-07T18:13:48Z</dcterms:modified>
</cp:coreProperties>
</file>

<file path=docProps/custom.xml><?xml version="1.0" encoding="utf-8"?>
<Properties xmlns="http://schemas.openxmlformats.org/officeDocument/2006/custom-properties" xmlns:vt="http://schemas.openxmlformats.org/officeDocument/2006/docPropsVTypes"/>
</file>