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на МК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Створити окремий компонент для введення даних у форму відповідно до варіанту. Форма повинна бути реактивною – 2 балів, якщо форма не реактивна – 1 бал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Організувати обмін даними між компонентом введення та головним застосунком за допомогою декораторів @Input та @Output (можна використати лише один з декораторів, не обов’язково використовувати обидва) та  підключити розроблений компонент до застосунку  – 2 бали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Розробити інтерфейс для виведення результатів – 2 бали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Розробити окремий сервіс для виконання розрахунків відповідно до варіанту завдання – 2 бали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Написати модульні тести для перевірки проведених у сервісах розрахунків – 2 бали.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Додаткові бали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Розмістити розроблений застосунок на хостингу – 2 бали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Необхідно сформувати єдиний .docx файл з назвою, що включає прізвище та групу студента, наприклад, МК1_Іванов_КН31, у якому навести принтскріни запуску та роботи застосунку та код кожного з компонентів та сервісів. Також навести принтскріни проходження тестів та їх код. Програмний код необхідно завантажити на GitHub.  Посилання на хостинг, якщо є.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Завдання.</w:t>
      </w:r>
      <w:r w:rsidDel="00000000" w:rsidR="00000000" w:rsidRPr="00000000">
        <w:rPr>
          <w:rtl w:val="0"/>
        </w:rPr>
        <w:t xml:space="preserve"> Розробити сервіс для обчислення  кількості пар однакових за модулем сусідніх елементів у двовимірному масиві. В якості сусідніх можуть виступати як елементи, що знаходяться в одному стовпчику так і елементи, що знаходяться в одному рядку. Однакові елементи потрібно виокремити кольором.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Форма для введення повинна спочатку запитати розмірність масиву, потім запититати чи потрібно згенерувати масив випадковим чином, якщо ні то  надати можливість ввести елементи масиву з клавіатури. Максимальна розмірність – 10 на 10.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highlight w:val="white"/>
        <w:lang w:val="uk-UA"/>
      </w:rPr>
    </w:rPrDefault>
    <w:pPrDefault>
      <w:pPr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/8SA4GCg3Znezj2MHlNXvQczDg==">CgMxLjAyCGguZ2pkZ3hzOAByITEzTk5BS1dLdnVTNEF5WWlmb1hHaGxXQ2JQYXVjdWhqTg==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