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upplementary-materials"/>
    <w:p>
      <w:pPr>
        <w:pStyle w:val="Heading1"/>
      </w:pPr>
      <w:r>
        <w:t xml:space="preserve">Supplementary Materials</w:t>
      </w:r>
    </w:p>
    <w:bookmarkStart w:id="12" w:name="s1.-extended-seed-count-robustness"/>
    <w:p>
      <w:pPr>
        <w:pStyle w:val="Heading2"/>
      </w:pPr>
      <w:r>
        <w:t xml:space="preserve">S1. Extended Seed Count Robustness</w:t>
      </w:r>
    </w:p>
    <w:p>
      <w:pPr>
        <w:pStyle w:val="FirstParagraph"/>
      </w:pPr>
      <w:r>
        <w:t xml:space="preserve">The primary manuscript reports the frozen 2026-05-21 statistics. To evaluate robustness to larger seed counts, we repeated the online benchmark with 16 seeds per condition. This run pooled thalamus, distributed, and distributed meta-monitor control conditions, so it should be interpreted as a supplementary robustness check rather than as a replacement for the primary validation table.</w:t>
      </w:r>
    </w:p>
    <w:p>
      <w:pPr>
        <w:pStyle w:val="BodyText"/>
      </w:pPr>
      <w:r>
        <w:t xml:space="preserve">All five constructs remained above the validation threshold (</w:t>
      </w:r>
      <w:r>
        <w:rPr>
          <w:rStyle w:val="VerbatimChar"/>
        </w:rPr>
        <w:t xml:space="preserve">r &gt;= 0.70</w:t>
      </w:r>
      <w:r>
        <w:t xml:space="preserve">), although the pooled estimates were lower than the primary frozen estimates for several constructs.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Construct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Primary frozen 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16-seed supplementary 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 agency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Boundary self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Identity-temporal self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 ownership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 body-schema self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-0.022</w:t>
            </w:r>
          </w:p>
        </w:tc>
      </w:tr>
    </w:tbl>
    <w:p>
      <w:pPr>
        <w:pStyle w:val="BodyText"/>
      </w:pPr>
      <w:r>
        <w:t xml:space="preserve">The largest change was observed for action agency. The 16-seed estimate (</w:t>
      </w:r>
      <w:r>
        <w:rPr>
          <w:rStyle w:val="VerbatimChar"/>
        </w:rPr>
        <w:t xml:space="preserve">r=0.727</w:t>
      </w:r>
      <w:r>
        <w:t xml:space="preserve">, 95% CI</w:t>
      </w:r>
      <w:r>
        <w:t xml:space="preserve"> </w:t>
      </w:r>
      <w:r>
        <w:rPr>
          <w:rStyle w:val="VerbatimChar"/>
        </w:rPr>
        <w:t xml:space="preserve">[0.662, 0.781]</w:t>
      </w:r>
      <w:r>
        <w:t xml:space="preserve">) is close to the validation threshold but remains positive, statistically reliable, and above criterion. We interpret this as evidence that the primary 8-seed estimate was somewhat upward-biased, not as evidence against the construct. The action-loop mechanism effect also replicated in the extended run (</w:t>
      </w:r>
      <w:r>
        <w:rPr>
          <w:rStyle w:val="VerbatimChar"/>
        </w:rPr>
        <w:t xml:space="preserve">+0.698</w:t>
      </w:r>
      <w:r>
        <w:t xml:space="preserve">, 95% CI</w:t>
      </w:r>
      <w:r>
        <w:t xml:space="preserve"> </w:t>
      </w:r>
      <w:r>
        <w:rPr>
          <w:rStyle w:val="VerbatimChar"/>
        </w:rPr>
        <w:t xml:space="preserve">[0.695, 0.700]</w:t>
      </w:r>
      <w:r>
        <w:t xml:space="preserve">).</w:t>
      </w:r>
    </w:p>
    <w:p>
      <w:pPr>
        <w:pStyle w:val="CaptionedFigure"/>
      </w:pPr>
      <w:r>
        <w:drawing>
          <wp:inline>
            <wp:extent cx="5067300" cy="3076209"/>
            <wp:effectExtent b="0" l="0" r="0" t="0"/>
            <wp:docPr descr="Supplementary Figure S1. Extended 16-seed validation." title="" id="10" name="Picture"/>
            <a:graphic>
              <a:graphicData uri="http://schemas.openxmlformats.org/drawingml/2006/picture">
                <pic:pic>
                  <pic:nvPicPr>
                    <pic:cNvPr descr="figures/supplementary_20260522/figureS1_extended_16seed_validatio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076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S1. Extended 16-seed validation.</w:t>
      </w:r>
    </w:p>
    <w:bookmarkEnd w:id="12"/>
    <w:bookmarkStart w:id="13" w:name="s2.-transformer-extended-validation"/>
    <w:p>
      <w:pPr>
        <w:pStyle w:val="Heading2"/>
      </w:pPr>
      <w:r>
        <w:t xml:space="preserve">S2. Transformer Extended Validation</w:t>
      </w:r>
    </w:p>
    <w:p>
      <w:pPr>
        <w:pStyle w:val="FirstParagraph"/>
      </w:pPr>
      <w:r>
        <w:t xml:space="preserve">We also repeated the Transformer-inspired 2x2 follow-up with 16 seeds per condition. The result reinforces the interpretation in the main manuscript: action-loop effects generalize to an attention-based substrate, while self-related validation in the Transformer implementation remains architecture-limited.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Construct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 [95% CI]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 agency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0.999826 [0.999734, 0.999907]</w:t>
            </w:r>
          </w:p>
        </w:tc>
        <w:tc>
          <w:tcPr/>
          <w:p>
            <w:pPr>
              <w:pStyle w:val="Compact"/>
            </w:pPr>
            <w:r>
              <w:t xml:space="preserve">near-ceiling convergence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Boundary self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 [0.286, 0.674]</w:t>
            </w:r>
          </w:p>
        </w:tc>
        <w:tc>
          <w:tcPr/>
          <w:p>
            <w:pPr>
              <w:pStyle w:val="Compact"/>
            </w:pPr>
            <w:r>
              <w:t xml:space="preserve">not validated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Identity-temporal self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0.610 [0.444, 0.747]</w:t>
            </w:r>
          </w:p>
        </w:tc>
        <w:tc>
          <w:tcPr/>
          <w:p>
            <w:pPr>
              <w:pStyle w:val="Compact"/>
            </w:pPr>
            <w:r>
              <w:t xml:space="preserve">exploratory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 ownership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0.999992 [0.999989, 0.999996]</w:t>
            </w:r>
          </w:p>
        </w:tc>
        <w:tc>
          <w:tcPr/>
          <w:p>
            <w:pPr>
              <w:pStyle w:val="Compact"/>
            </w:pPr>
            <w:r>
              <w:t xml:space="preserve">near-ceiling convergence</w:t>
            </w:r>
          </w:p>
        </w:tc>
      </w:tr>
    </w:tbl>
    <w:p>
      <w:pPr>
        <w:pStyle w:val="BodyText"/>
      </w:pPr>
      <w:r>
        <w:t xml:space="preserve">The mechanism effects remained selective. Action-loop availability increased action agency (</w:t>
      </w:r>
      <w:r>
        <w:rPr>
          <w:rStyle w:val="VerbatimChar"/>
        </w:rPr>
        <w:t xml:space="preserve">+0.8190</w:t>
      </w:r>
      <w:r>
        <w:t xml:space="preserve">, 95% CI</w:t>
      </w:r>
      <w:r>
        <w:t xml:space="preserve"> </w:t>
      </w:r>
      <w:r>
        <w:rPr>
          <w:rStyle w:val="VerbatimChar"/>
        </w:rPr>
        <w:t xml:space="preserve">[0.8182, 0.8198]</w:t>
      </w:r>
      <w:r>
        <w:t xml:space="preserve">) and action ownership (</w:t>
      </w:r>
      <w:r>
        <w:rPr>
          <w:rStyle w:val="VerbatimChar"/>
        </w:rPr>
        <w:t xml:space="preserve">+0.8190</w:t>
      </w:r>
      <w:r>
        <w:t xml:space="preserve">, 95% CI</w:t>
      </w:r>
      <w:r>
        <w:t xml:space="preserve"> </w:t>
      </w:r>
      <w:r>
        <w:rPr>
          <w:rStyle w:val="VerbatimChar"/>
        </w:rPr>
        <w:t xml:space="preserve">[0.8182, 0.8197]</w:t>
      </w:r>
      <w:r>
        <w:t xml:space="preserve">). Workspace availability strongly increased the internal boundary-self proxy (</w:t>
      </w:r>
      <w:r>
        <w:rPr>
          <w:rStyle w:val="VerbatimChar"/>
        </w:rPr>
        <w:t xml:space="preserve">+0.8357</w:t>
      </w:r>
      <w:r>
        <w:t xml:space="preserve">, 95% CI</w:t>
      </w:r>
      <w:r>
        <w:t xml:space="preserve"> </w:t>
      </w:r>
      <w:r>
        <w:rPr>
          <w:rStyle w:val="VerbatimChar"/>
        </w:rPr>
        <w:t xml:space="preserve">[0.8287, 0.8426]</w:t>
      </w:r>
      <w:r>
        <w:t xml:space="preserve">) but did not yield validated boundary-self convergence. Identity-temporal self also dropped into the exploratory range in this extended run. This supports a conservative conclusion: Transformer-like systems reproduce the action-loop mechanism pattern, but current self-related probes do not provide robust construct validation in this substrate.</w:t>
      </w:r>
    </w:p>
    <w:bookmarkEnd w:id="13"/>
    <w:bookmarkStart w:id="20" w:name="s3.-workspace-capacity-sweeps"/>
    <w:p>
      <w:pPr>
        <w:pStyle w:val="Heading2"/>
      </w:pPr>
      <w:r>
        <w:t xml:space="preserve">S3. Workspace Capacity Sweeps</w:t>
      </w:r>
    </w:p>
    <w:p>
      <w:pPr>
        <w:pStyle w:val="FirstParagraph"/>
      </w:pPr>
      <w:r>
        <w:t xml:space="preserve">We ran workspace capacity sweeps in the thalamus-inspired and Transformer-inspired architectures. Each sweep tested capacities</w:t>
      </w:r>
      <w:r>
        <w:t xml:space="preserve"> </w:t>
      </w:r>
      <w:r>
        <w:rPr>
          <w:rStyle w:val="VerbatimChar"/>
        </w:rPr>
        <w:t xml:space="preserve">0, 1, 2, 4, 8</w:t>
      </w:r>
      <w:r>
        <w:t xml:space="preserve"> </w:t>
      </w:r>
      <w:r>
        <w:t xml:space="preserve">with 16 seeds per capacity. The contrast between the two architectures clarifies the meaning of the Transformer measurement limitation.</w:t>
      </w:r>
    </w:p>
    <w:bookmarkStart w:id="14" w:name="s3.1-thalamus-architecture"/>
    <w:p>
      <w:pPr>
        <w:pStyle w:val="Heading3"/>
      </w:pPr>
      <w:r>
        <w:t xml:space="preserve">S3.1 Thalamus Architecture</w:t>
      </w:r>
    </w:p>
    <w:p>
      <w:pPr>
        <w:pStyle w:val="FirstParagraph"/>
      </w:pPr>
      <w:r>
        <w:t xml:space="preserve">In the thalamus-inspired architecture, workspace capacity produced graded changes in workspace-linked measures. Proxy-independent convergence remained strong for both boundary self and identity-temporal self: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Diagnostic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Pearson r [95% CI]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Spearman rho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capacity vs boundary proxy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 [0.588, 0.737]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capacity vs boundary independent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0.391 [0.222, 0.535]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capacity vs identity proxy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0.417 [0.262, 0.543]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capacity vs identity independent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0.508 [0.395, 0.608]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boundary proxy vs independent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0.838 [0.722, 0.910]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proxy vs independent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0.982 [0.965, 0.992]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0.629</w:t>
            </w:r>
          </w:p>
        </w:tc>
      </w:tr>
    </w:tbl>
    <w:bookmarkEnd w:id="14"/>
    <w:bookmarkStart w:id="18" w:name="s3.2-transformer-architecture"/>
    <w:p>
      <w:pPr>
        <w:pStyle w:val="Heading3"/>
      </w:pPr>
      <w:r>
        <w:t xml:space="preserve">S3.2 Transformer Architecture</w:t>
      </w:r>
    </w:p>
    <w:p>
      <w:pPr>
        <w:pStyle w:val="FirstParagraph"/>
      </w:pPr>
      <w:r>
        <w:t xml:space="preserve">In the Transformer-inspired architecture, workspace capacity affected the internal boundary proxy but did not rescue independent boundary validation: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Diagnostic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Pearson r [95% CI]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Spearman rho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capacity vs boundary proxy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0.494 [0.371, 0.596]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capacity vs generic boundary probe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-0.257 [-0.463, -0.034]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capacity vs hard attention boundary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0.184 [-0.039, 0.386]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proxy vs generic boundary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0.404 [0.208, 0.578]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proxy vs hard attention boundary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0.252 [0.077, 0.435]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0.360</w:t>
            </w:r>
          </w:p>
        </w:tc>
      </w:tr>
    </w:tbl>
    <w:p>
      <w:pPr>
        <w:pStyle w:val="CaptionedFigure"/>
      </w:pPr>
      <w:r>
        <w:drawing>
          <wp:inline>
            <wp:extent cx="5067300" cy="3460735"/>
            <wp:effectExtent b="0" l="0" r="0" t="0"/>
            <wp:docPr descr="Supplementary Figure S2. Workspace capacity sweeps." title="" id="16" name="Picture"/>
            <a:graphic>
              <a:graphicData uri="http://schemas.openxmlformats.org/drawingml/2006/picture">
                <pic:pic>
                  <pic:nvPicPr>
                    <pic:cNvPr descr="figures/supplementary_20260522/figureS2_workspace_capacity_sweeps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4607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S2. Workspace capacity sweeps.</w:t>
      </w:r>
    </w:p>
    <w:bookmarkEnd w:id="18"/>
    <w:bookmarkStart w:id="19" w:name="X699c1bedae0995c8c0a2d4f73c503974e6ffd0f"/>
    <w:p>
      <w:pPr>
        <w:pStyle w:val="Heading3"/>
      </w:pPr>
      <w:r>
        <w:t xml:space="preserve">S3.3 Architecture-Conditioned Interpretation</w:t>
      </w:r>
    </w:p>
    <w:p>
      <w:pPr>
        <w:pStyle w:val="FirstParagraph"/>
      </w:pPr>
      <w:r>
        <w:t xml:space="preserve">The capacity sweeps show that workspace capacity is not sufficient, by itself, to establish boundary-self validity in every architecture. In the thalamus-inspired architecture, capacity-linked proxy changes corresponded to strong proxy-independent convergence. In the Transformer-inspired architecture, capacity changed internal workspace diagnostics but did not produce validated boundary-maintenance behavior. This pattern supports the main manuscript’s architecture-conditioned interpretation: mechanisms may generalize while construct validity remains architecture dependent.</w:t>
      </w:r>
    </w:p>
    <w:bookmarkEnd w:id="19"/>
    <w:bookmarkEnd w:id="20"/>
    <w:bookmarkStart w:id="21" w:name="s4.-data-availability"/>
    <w:p>
      <w:pPr>
        <w:pStyle w:val="Heading2"/>
      </w:pPr>
      <w:r>
        <w:t xml:space="preserve">S4. Data Availability</w:t>
      </w:r>
    </w:p>
    <w:p>
      <w:pPr>
        <w:pStyle w:val="FirstParagraph"/>
      </w:pPr>
      <w:r>
        <w:t xml:space="preserve">Supplementary statistics and run metadata are stored in</w:t>
      </w:r>
      <w:r>
        <w:t xml:space="preserve"> </w:t>
      </w:r>
      <w:r>
        <w:rPr>
          <w:rStyle w:val="VerbatimChar"/>
        </w:rPr>
        <w:t xml:space="preserve">docs/paper/statistics/supplementary_20260522/</w:t>
      </w:r>
      <w:r>
        <w:t xml:space="preserve">. Supplementary figures are stored in</w:t>
      </w:r>
      <w:r>
        <w:t xml:space="preserve"> </w:t>
      </w:r>
      <w:r>
        <w:rPr>
          <w:rStyle w:val="VerbatimChar"/>
        </w:rPr>
        <w:t xml:space="preserve">docs/paper/figures/supplementary_20260522/</w:t>
      </w:r>
      <w:r>
        <w:t xml:space="preserve">.</w:t>
      </w:r>
    </w:p>
    <w:p>
      <w:pPr>
        <w:pStyle w:val="BodyText"/>
      </w:pPr>
      <w:r>
        <w:t xml:space="preserve">The source run directories are: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runs/benchmark_online_supplementary/online_20260522_173251/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runs/supplementary/transformer_validation_20260522_173251/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runs/supplementary/transformer_workspace_capacity_20260522_173251/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runs/supplementary/thalamus_workspace_capacity_20260522_173251/</w:t>
      </w:r>
    </w:p>
    <w:p>
      <w:pPr>
        <w:pStyle w:val="FirstParagraph"/>
      </w:pPr>
      <w:r>
        <w:t xml:space="preserve">These supplementary runs are not used to overwrite the frozen primary manuscript statistics.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2026-05-22T11:47:42Z</dcterms:created>
  <dcterms:modified xsi:type="dcterms:W3CDTF">2026-05-22T11:47:42Z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