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upplementary-materials"/>
    <w:p>
      <w:pPr>
        <w:pStyle w:val="Heading1"/>
      </w:pPr>
      <w:r>
        <w:t xml:space="preserve">Supplementary Materials</w:t>
      </w:r>
    </w:p>
    <w:bookmarkStart w:id="12" w:name="s1.-extended-seed-count-robustness"/>
    <w:p>
      <w:pPr>
        <w:pStyle w:val="Heading2"/>
      </w:pPr>
      <w:r>
        <w:t xml:space="preserve">S1. Extended Seed Count Robustness</w:t>
      </w:r>
    </w:p>
    <w:p>
      <w:pPr>
        <w:pStyle w:val="FirstParagraph"/>
      </w:pPr>
      <w:r>
        <w:t xml:space="preserve">The primary manuscript reports the frozen 2026-05-21 statistics. To evaluate robustness to larger seed counts, we repeated the online benchmark with 16 seeds per condition. This run pooled thalamus, distributed, and distributed meta-monitor control conditions, so it should be interpreted as a supplementary robustness check rather than as a replacement for the primary validation table.</w:t>
      </w:r>
    </w:p>
    <w:p>
      <w:pPr>
        <w:pStyle w:val="BodyText"/>
      </w:pPr>
      <w:r>
        <w:t xml:space="preserve">All five constructs remained above the validation threshold (</w:t>
      </w:r>
      <w:r>
        <w:rPr>
          <w:rStyle w:val="VerbatimChar"/>
        </w:rPr>
        <w:t xml:space="preserve">r &gt;= 0.70</w:t>
      </w:r>
      <w:r>
        <w:t xml:space="preserve">), although the pooled estimates were lower than the primary frozen estimates for several constructs.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Primary frozen 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16-seed supplementary 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agency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Boundary self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Identity-temporal self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ownership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Distributed body-schema self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-0.022</w:t>
            </w:r>
          </w:p>
        </w:tc>
      </w:tr>
    </w:tbl>
    <w:p>
      <w:pPr>
        <w:pStyle w:val="BodyText"/>
      </w:pPr>
      <w:r>
        <w:t xml:space="preserve">The largest change was observed for action agency. The 16-seed estimate (</w:t>
      </w:r>
      <w:r>
        <w:rPr>
          <w:rStyle w:val="VerbatimChar"/>
        </w:rPr>
        <w:t xml:space="preserve">r=0.727</w:t>
      </w:r>
      <w:r>
        <w:t xml:space="preserve">, 95% CI</w:t>
      </w:r>
      <w:r>
        <w:t xml:space="preserve"> </w:t>
      </w:r>
      <w:r>
        <w:rPr>
          <w:rStyle w:val="VerbatimChar"/>
        </w:rPr>
        <w:t xml:space="preserve">[0.662, 0.781]</w:t>
      </w:r>
      <w:r>
        <w:t xml:space="preserve">) is close to the validation threshold but remains positive, statistically reliable, and above criterion. We interpret this as evidence that the primary 8-seed estimate was somewhat upward-biased, not as evidence against the construct. The action-loop mechanism effect also replicated in the extended run (</w:t>
      </w:r>
      <w:r>
        <w:rPr>
          <w:rStyle w:val="VerbatimChar"/>
        </w:rPr>
        <w:t xml:space="preserve">+0.698</w:t>
      </w:r>
      <w:r>
        <w:t xml:space="preserve">, 95% CI</w:t>
      </w:r>
      <w:r>
        <w:t xml:space="preserve"> </w:t>
      </w:r>
      <w:r>
        <w:rPr>
          <w:rStyle w:val="VerbatimChar"/>
        </w:rPr>
        <w:t xml:space="preserve">[0.695, 0.700]</w:t>
      </w:r>
      <w:r>
        <w:t xml:space="preserve">).</w:t>
      </w:r>
    </w:p>
    <w:p>
      <w:pPr>
        <w:pStyle w:val="CaptionedFigure"/>
      </w:pPr>
      <w:r>
        <w:drawing>
          <wp:inline>
            <wp:extent cx="5067300" cy="3076209"/>
            <wp:effectExtent b="0" l="0" r="0" t="0"/>
            <wp:docPr descr="Extended 16-seed validation." title="" id="10" name="Picture"/>
            <a:graphic>
              <a:graphicData uri="http://schemas.openxmlformats.org/drawingml/2006/picture">
                <pic:pic>
                  <pic:nvPicPr>
                    <pic:cNvPr descr="figures/supplementary_20260522/figureS1_extended_16seed_validation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076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Extended 16-seed validation.</w:t>
      </w:r>
    </w:p>
    <w:bookmarkEnd w:id="12"/>
    <w:bookmarkStart w:id="13" w:name="X4c891e1512aa2137397c52d1a9241e416229b80"/>
    <w:p>
      <w:pPr>
        <w:pStyle w:val="Heading2"/>
      </w:pPr>
      <w:r>
        <w:t xml:space="preserve">S2. Minimal Attention-Based Extended Validation</w:t>
      </w:r>
    </w:p>
    <w:p>
      <w:pPr>
        <w:pStyle w:val="FirstParagraph"/>
      </w:pPr>
      <w:r>
        <w:t xml:space="preserve">We also repeated the minimal attention-based 2x2 follow-up with 16 seeds per condition. The result reinforces the interpretation in the main manuscript: action-loop effects generalize to an attention-based substrate, while self-related validation in the minimal attention implementation remains architecture-limited.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 [95% CI]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agency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0.999826 [0.999734, 0.999907]</w:t>
            </w:r>
          </w:p>
        </w:tc>
        <w:tc>
          <w:tcPr/>
          <w:p>
            <w:pPr>
              <w:pStyle w:val="Compact"/>
            </w:pPr>
            <w:r>
              <w:t xml:space="preserve">near-ceiling convergence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Boundary self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 [0.286, 0.674]</w:t>
            </w:r>
          </w:p>
        </w:tc>
        <w:tc>
          <w:tcPr/>
          <w:p>
            <w:pPr>
              <w:pStyle w:val="Compact"/>
            </w:pPr>
            <w:r>
              <w:t xml:space="preserve">not validated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Identity-temporal self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 [0.444, 0.747]</w:t>
            </w:r>
          </w:p>
        </w:tc>
        <w:tc>
          <w:tcPr/>
          <w:p>
            <w:pPr>
              <w:pStyle w:val="Compact"/>
            </w:pPr>
            <w:r>
              <w:t xml:space="preserve">exploratory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ownership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0.999992 [0.999989, 0.999996]</w:t>
            </w:r>
          </w:p>
        </w:tc>
        <w:tc>
          <w:tcPr/>
          <w:p>
            <w:pPr>
              <w:pStyle w:val="Compact"/>
            </w:pPr>
            <w:r>
              <w:t xml:space="preserve">near-ceiling convergence</w:t>
            </w:r>
          </w:p>
        </w:tc>
      </w:tr>
    </w:tbl>
    <w:p>
      <w:pPr>
        <w:pStyle w:val="BodyText"/>
      </w:pPr>
      <w:r>
        <w:t xml:space="preserve">The mechanism effects remained selective. Action-loop availability increased action agency (</w:t>
      </w:r>
      <w:r>
        <w:rPr>
          <w:rStyle w:val="VerbatimChar"/>
        </w:rPr>
        <w:t xml:space="preserve">+0.8190</w:t>
      </w:r>
      <w:r>
        <w:t xml:space="preserve">, 95% CI</w:t>
      </w:r>
      <w:r>
        <w:t xml:space="preserve"> </w:t>
      </w:r>
      <w:r>
        <w:rPr>
          <w:rStyle w:val="VerbatimChar"/>
        </w:rPr>
        <w:t xml:space="preserve">[0.8182, 0.8198]</w:t>
      </w:r>
      <w:r>
        <w:t xml:space="preserve">) and action ownership (</w:t>
      </w:r>
      <w:r>
        <w:rPr>
          <w:rStyle w:val="VerbatimChar"/>
        </w:rPr>
        <w:t xml:space="preserve">+0.8190</w:t>
      </w:r>
      <w:r>
        <w:t xml:space="preserve">, 95% CI</w:t>
      </w:r>
      <w:r>
        <w:t xml:space="preserve"> </w:t>
      </w:r>
      <w:r>
        <w:rPr>
          <w:rStyle w:val="VerbatimChar"/>
        </w:rPr>
        <w:t xml:space="preserve">[0.8182, 0.8197]</w:t>
      </w:r>
      <w:r>
        <w:t xml:space="preserve">). Workspace availability strongly increased the internal boundary-self proxy (</w:t>
      </w:r>
      <w:r>
        <w:rPr>
          <w:rStyle w:val="VerbatimChar"/>
        </w:rPr>
        <w:t xml:space="preserve">+0.8357</w:t>
      </w:r>
      <w:r>
        <w:t xml:space="preserve">, 95% CI</w:t>
      </w:r>
      <w:r>
        <w:t xml:space="preserve"> </w:t>
      </w:r>
      <w:r>
        <w:rPr>
          <w:rStyle w:val="VerbatimChar"/>
        </w:rPr>
        <w:t xml:space="preserve">[0.8287, 0.8426]</w:t>
      </w:r>
      <w:r>
        <w:t xml:space="preserve">) but did not yield validated boundary-self convergence. Identity-temporal self also dropped into the exploratory range in this extended run. This supports a conservative conclusion: the minimal attention system reproduces the action-loop mechanism pattern, but current self-related probes do not provide robust construct validation in this substrate.</w:t>
      </w:r>
    </w:p>
    <w:bookmarkEnd w:id="13"/>
    <w:bookmarkStart w:id="20" w:name="s3.-workspace-capacity-sweeps"/>
    <w:p>
      <w:pPr>
        <w:pStyle w:val="Heading2"/>
      </w:pPr>
      <w:r>
        <w:t xml:space="preserve">S3. Workspace Capacity Sweeps</w:t>
      </w:r>
    </w:p>
    <w:p>
      <w:pPr>
        <w:pStyle w:val="FirstParagraph"/>
      </w:pPr>
      <w:r>
        <w:t xml:space="preserve">We ran workspace capacity sweeps in the thalamus-inspired and minimal attention-based architectures. Each sweep tested capacities</w:t>
      </w:r>
      <w:r>
        <w:t xml:space="preserve"> </w:t>
      </w:r>
      <w:r>
        <w:rPr>
          <w:rStyle w:val="VerbatimChar"/>
        </w:rPr>
        <w:t xml:space="preserve">0, 1, 2, 4, 8</w:t>
      </w:r>
      <w:r>
        <w:t xml:space="preserve"> </w:t>
      </w:r>
      <w:r>
        <w:t xml:space="preserve">with 16 seeds per capacity. The contrast between the two architectures clarifies the meaning of the attention-substrate measurement limitation.</w:t>
      </w:r>
    </w:p>
    <w:bookmarkStart w:id="14" w:name="s3.1-thalamus-architecture"/>
    <w:p>
      <w:pPr>
        <w:pStyle w:val="Heading3"/>
      </w:pPr>
      <w:r>
        <w:t xml:space="preserve">S3.1 Thalamus Architecture</w:t>
      </w:r>
    </w:p>
    <w:p>
      <w:pPr>
        <w:pStyle w:val="FirstParagraph"/>
      </w:pPr>
      <w:r>
        <w:t xml:space="preserve">In the thalamus-inspired architecture, workspace capacity produced graded changes in workspace-linked measures. Proxy-independent convergence remained strong for both boundary self and identity-temporal self: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Diagnostic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Pearson r [95% CI]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Spearman rho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 vs boundary proxy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 [0.588, 0.737]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 vs boundary independent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 [0.222, 0.535]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 vs identity proxy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 [0.262, 0.543]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 vs identity independent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0.508 [0.395, 0.608]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boundary proxy vs independent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0.838 [0.722, 0.910]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proxy vs independent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 [0.965, 0.992]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</w:t>
            </w:r>
          </w:p>
        </w:tc>
      </w:tr>
    </w:tbl>
    <w:bookmarkEnd w:id="14"/>
    <w:bookmarkStart w:id="18" w:name="X0fa009fe39b0130a81d39723025249260b5f297"/>
    <w:p>
      <w:pPr>
        <w:pStyle w:val="Heading3"/>
      </w:pPr>
      <w:r>
        <w:t xml:space="preserve">S3.2 Minimal Attention-Based Architecture</w:t>
      </w:r>
    </w:p>
    <w:p>
      <w:pPr>
        <w:pStyle w:val="FirstParagraph"/>
      </w:pPr>
      <w:r>
        <w:t xml:space="preserve">In the minimal attention-based architecture, workspace capacity affected the internal boundary proxy but did not rescue independent boundary validation: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Diagnostic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Pearson r [95% CI]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Spearman rho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 vs boundary proxy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 [0.371, 0.596]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 vs generic boundary probe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-0.257 [-0.463, -0.034]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 vs hard attention boundary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 [-0.039, 0.386]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proxy vs generic boundary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0.404 [0.208, 0.578]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proxy vs hard attention boundary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 [0.077, 0.435]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</w:t>
            </w:r>
          </w:p>
        </w:tc>
      </w:tr>
    </w:tbl>
    <w:p>
      <w:pPr>
        <w:pStyle w:val="CaptionedFigure"/>
      </w:pPr>
      <w:r>
        <w:drawing>
          <wp:inline>
            <wp:extent cx="5067300" cy="3460735"/>
            <wp:effectExtent b="0" l="0" r="0" t="0"/>
            <wp:docPr descr="Workspace capacity sweeps." title="" id="16" name="Picture"/>
            <a:graphic>
              <a:graphicData uri="http://schemas.openxmlformats.org/drawingml/2006/picture">
                <pic:pic>
                  <pic:nvPicPr>
                    <pic:cNvPr descr="figures/supplementary_20260522/figureS2_workspace_capacity_sweeps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460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Workspace capacity sweeps.</w:t>
      </w:r>
    </w:p>
    <w:bookmarkEnd w:id="18"/>
    <w:bookmarkStart w:id="19" w:name="X699c1bedae0995c8c0a2d4f73c503974e6ffd0f"/>
    <w:p>
      <w:pPr>
        <w:pStyle w:val="Heading3"/>
      </w:pPr>
      <w:r>
        <w:t xml:space="preserve">S3.3 Architecture-Conditioned Interpretation</w:t>
      </w:r>
    </w:p>
    <w:p>
      <w:pPr>
        <w:pStyle w:val="FirstParagraph"/>
      </w:pPr>
      <w:r>
        <w:t xml:space="preserve">The capacity sweeps show that workspace capacity is not sufficient, by itself, to establish boundary-self validity in every architecture. In the thalamus-inspired architecture, capacity-linked proxy changes corresponded to strong proxy-independent convergence. In the minimal attention-based architecture, capacity changed internal workspace diagnostics but did not produce validated boundary-maintenance behavior. This pattern supports the main manuscript’s architecture-conditioned interpretation: mechanisms may generalize while construct validity remains architecture dependent.</w:t>
      </w:r>
    </w:p>
    <w:bookmarkEnd w:id="19"/>
    <w:bookmarkEnd w:id="20"/>
    <w:bookmarkStart w:id="21" w:name="X33af31d16a3a436ecabddccf3ab68f7bd86c39b"/>
    <w:p>
      <w:pPr>
        <w:pStyle w:val="Heading2"/>
      </w:pPr>
      <w:r>
        <w:t xml:space="preserve">S4. Independent Test Operational Definitions</w:t>
      </w:r>
    </w:p>
    <w:p>
      <w:pPr>
        <w:pStyle w:val="FirstParagraph"/>
      </w:pPr>
      <w:r>
        <w:t xml:space="preserve">The main manuscript summarizes the independent tests used to validate each operational construct. This table gives the corresponding input, operation, and output metric.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Output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Intentional-binding analogue</w:t>
            </w:r>
          </w:p>
        </w:tc>
        <w:tc>
          <w:tcPr/>
          <w:p>
            <w:pPr>
              <w:pStyle w:val="Compact"/>
            </w:pPr>
            <w:r>
              <w:t xml:space="preserve">self-generated actions and delayed effects</w:t>
            </w:r>
          </w:p>
        </w:tc>
        <w:tc>
          <w:tcPr/>
          <w:p>
            <w:pPr>
              <w:pStyle w:val="Compact"/>
            </w:pPr>
            <w:r>
              <w:t xml:space="preserve">compare perceived or represented action-effect interval under controllable versus externally imposed action conditions</w:t>
            </w:r>
          </w:p>
        </w:tc>
        <w:tc>
          <w:tcPr/>
          <w:p>
            <w:pPr>
              <w:pStyle w:val="Compact"/>
            </w:pPr>
            <w:r>
              <w:t xml:space="preserve">temporal compression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Error-attribution test</w:t>
            </w:r>
          </w:p>
        </w:tc>
        <w:tc>
          <w:tcPr/>
          <w:p>
            <w:pPr>
              <w:pStyle w:val="Compact"/>
            </w:pPr>
            <w:r>
              <w:t xml:space="preserve">action predictions, observed effects, and injected mismatches</w:t>
            </w:r>
          </w:p>
        </w:tc>
        <w:tc>
          <w:tcPr/>
          <w:p>
            <w:pPr>
              <w:pStyle w:val="Compact"/>
            </w:pPr>
            <w:r>
              <w:t xml:space="preserve">ask whether mismatch is attributed to self-generated action or external perturbation</w:t>
            </w:r>
          </w:p>
        </w:tc>
        <w:tc>
          <w:tcPr/>
          <w:p>
            <w:pPr>
              <w:pStyle w:val="Compact"/>
            </w:pPr>
            <w:r>
              <w:t xml:space="preserve">attribution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Controllability-preference test</w:t>
            </w:r>
          </w:p>
        </w:tc>
        <w:tc>
          <w:tcPr/>
          <w:p>
            <w:pPr>
              <w:pStyle w:val="Compact"/>
            </w:pPr>
            <w:r>
              <w:t xml:space="preserve">paired environments with different action-outcome reliability</w:t>
            </w:r>
          </w:p>
        </w:tc>
        <w:tc>
          <w:tcPr/>
          <w:p>
            <w:pPr>
              <w:pStyle w:val="Compact"/>
            </w:pPr>
            <w:r>
              <w:t xml:space="preserve">measure preference or score advantage for the controllable environment</w:t>
            </w:r>
          </w:p>
        </w:tc>
        <w:tc>
          <w:tcPr/>
          <w:p>
            <w:pPr>
              <w:pStyle w:val="Compact"/>
            </w:pPr>
            <w:r>
              <w:t xml:space="preserve">controllability preference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Forced-action probe</w:t>
            </w:r>
          </w:p>
        </w:tc>
        <w:tc>
          <w:tcPr/>
          <w:p>
            <w:pPr>
              <w:pStyle w:val="Compact"/>
            </w:pPr>
            <w:r>
              <w:t xml:space="preserve">observations with actions selected externally</w:t>
            </w:r>
          </w:p>
        </w:tc>
        <w:tc>
          <w:tcPr/>
          <w:p>
            <w:pPr>
              <w:pStyle w:val="Compact"/>
            </w:pPr>
            <w:r>
              <w:t xml:space="preserve">compare agency score under chosen versus forced actions</w:t>
            </w:r>
          </w:p>
        </w:tc>
        <w:tc>
          <w:tcPr/>
          <w:p>
            <w:pPr>
              <w:pStyle w:val="Compact"/>
            </w:pPr>
            <w:r>
              <w:t xml:space="preserve">forced-action agency drop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Boundary perturbation</w:t>
            </w:r>
          </w:p>
        </w:tc>
        <w:tc>
          <w:tcPr/>
          <w:p>
            <w:pPr>
              <w:pStyle w:val="Compact"/>
            </w:pPr>
            <w:r>
              <w:t xml:space="preserve">self-marked and non-self-marked state components</w:t>
            </w:r>
          </w:p>
        </w:tc>
        <w:tc>
          <w:tcPr/>
          <w:p>
            <w:pPr>
              <w:pStyle w:val="Compact"/>
            </w:pPr>
            <w:r>
              <w:t xml:space="preserve">perturb each component class and measure recovery or protection</w:t>
            </w:r>
          </w:p>
        </w:tc>
        <w:tc>
          <w:tcPr/>
          <w:p>
            <w:pPr>
              <w:pStyle w:val="Compact"/>
            </w:pPr>
            <w:r>
              <w:t xml:space="preserve">self-boundary recovery advantage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Self/other discrimination</w:t>
            </w:r>
          </w:p>
        </w:tc>
        <w:tc>
          <w:tcPr/>
          <w:p>
            <w:pPr>
              <w:pStyle w:val="Compact"/>
            </w:pPr>
            <w:r>
              <w:t xml:space="preserve">own traces and matched traces from other systems</w:t>
            </w:r>
          </w:p>
        </w:tc>
        <w:tc>
          <w:tcPr/>
          <w:p>
            <w:pPr>
              <w:pStyle w:val="Compact"/>
            </w:pPr>
            <w:r>
              <w:t xml:space="preserve">classify or choose which trace belongs to self</w:t>
            </w:r>
          </w:p>
        </w:tc>
        <w:tc>
          <w:tcPr/>
          <w:p>
            <w:pPr>
              <w:pStyle w:val="Compact"/>
            </w:pPr>
            <w:r>
              <w:t xml:space="preserve">discrimination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Computational mirror test</w:t>
            </w:r>
          </w:p>
        </w:tc>
        <w:tc>
          <w:tcPr/>
          <w:p>
            <w:pPr>
              <w:pStyle w:val="Compact"/>
            </w:pPr>
            <w:r>
              <w:t xml:space="preserve">delayed or transformed prior behavior traces</w:t>
            </w:r>
          </w:p>
        </w:tc>
        <w:tc>
          <w:tcPr/>
          <w:p>
            <w:pPr>
              <w:pStyle w:val="Compact"/>
            </w:pPr>
            <w:r>
              <w:t xml:space="preserve">recognize own trace after delay or transformation</w:t>
            </w:r>
          </w:p>
        </w:tc>
        <w:tc>
          <w:tcPr/>
          <w:p>
            <w:pPr>
              <w:pStyle w:val="Compact"/>
            </w:pPr>
            <w:r>
              <w:t xml:space="preserve">self-recognition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Delayed identity recognition</w:t>
            </w:r>
          </w:p>
        </w:tc>
        <w:tc>
          <w:tcPr/>
          <w:p>
            <w:pPr>
              <w:pStyle w:val="Compact"/>
            </w:pPr>
            <w:r>
              <w:t xml:space="preserve">identity markers after intervening dynamics</w:t>
            </w:r>
          </w:p>
        </w:tc>
        <w:tc>
          <w:tcPr/>
          <w:p>
            <w:pPr>
              <w:pStyle w:val="Compact"/>
            </w:pPr>
            <w:r>
              <w:t xml:space="preserve">recover or recognize the initial identity marker</w:t>
            </w:r>
          </w:p>
        </w:tc>
        <w:tc>
          <w:tcPr/>
          <w:p>
            <w:pPr>
              <w:pStyle w:val="Compact"/>
            </w:pPr>
            <w:r>
              <w:t xml:space="preserve">marker-recognition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Temporal-binding probe</w:t>
            </w:r>
          </w:p>
        </w:tc>
        <w:tc>
          <w:tcPr/>
          <w:p>
            <w:pPr>
              <w:pStyle w:val="Compact"/>
            </w:pPr>
            <w:r>
              <w:t xml:space="preserve">shuffled or separated event sequences</w:t>
            </w:r>
          </w:p>
        </w:tc>
        <w:tc>
          <w:tcPr/>
          <w:p>
            <w:pPr>
              <w:pStyle w:val="Compact"/>
            </w:pPr>
            <w:r>
              <w:t xml:space="preserve">reorder or bind events into a coherent temporal sequence</w:t>
            </w:r>
          </w:p>
        </w:tc>
        <w:tc>
          <w:tcPr/>
          <w:p>
            <w:pPr>
              <w:pStyle w:val="Compact"/>
            </w:pPr>
            <w:r>
              <w:t xml:space="preserve">ordering/binding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Forced-choice ownership</w:t>
            </w:r>
          </w:p>
        </w:tc>
        <w:tc>
          <w:tcPr/>
          <w:p>
            <w:pPr>
              <w:pStyle w:val="Compact"/>
            </w:pPr>
            <w:r>
              <w:t xml:space="preserve">one self-generated action and one external action</w:t>
            </w:r>
          </w:p>
        </w:tc>
        <w:tc>
          <w:tcPr/>
          <w:p>
            <w:pPr>
              <w:pStyle w:val="Compact"/>
            </w:pPr>
            <w:r>
              <w:t xml:space="preserve">choose which action was self-generated</w:t>
            </w:r>
          </w:p>
        </w:tc>
        <w:tc>
          <w:tcPr/>
          <w:p>
            <w:pPr>
              <w:pStyle w:val="Compact"/>
            </w:pPr>
            <w:r>
              <w:t xml:space="preserve">forced-choice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Ownership-illusion resistance</w:t>
            </w:r>
          </w:p>
        </w:tc>
        <w:tc>
          <w:tcPr/>
          <w:p>
            <w:pPr>
              <w:pStyle w:val="Compact"/>
            </w:pPr>
            <w:r>
              <w:t xml:space="preserve">externally generated outcomes that conflict with own action prediction</w:t>
            </w:r>
          </w:p>
        </w:tc>
        <w:tc>
          <w:tcPr/>
          <w:p>
            <w:pPr>
              <w:pStyle w:val="Compact"/>
            </w:pPr>
            <w:r>
              <w:t xml:space="preserve">reject externally caused outcomes as self-owned</w:t>
            </w:r>
          </w:p>
        </w:tc>
        <w:tc>
          <w:tcPr/>
          <w:p>
            <w:pPr>
              <w:pStyle w:val="Compact"/>
            </w:pPr>
            <w:r>
              <w:t xml:space="preserve">illusion-resistance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Meta-monitor lesion</w:t>
            </w:r>
          </w:p>
        </w:tc>
        <w:tc>
          <w:tcPr/>
          <w:p>
            <w:pPr>
              <w:pStyle w:val="Compact"/>
            </w:pPr>
            <w:r>
              <w:t xml:space="preserve">distributed system before and after disabling meta-monitoring</w:t>
            </w:r>
          </w:p>
        </w:tc>
        <w:tc>
          <w:tcPr/>
          <w:p>
            <w:pPr>
              <w:pStyle w:val="Compact"/>
            </w:pPr>
            <w:r>
              <w:t xml:space="preserve">compare body-schema and coordination scores under lesion</w:t>
            </w:r>
          </w:p>
        </w:tc>
        <w:tc>
          <w:tcPr/>
          <w:p>
            <w:pPr>
              <w:pStyle w:val="Compact"/>
            </w:pPr>
            <w:r>
              <w:t xml:space="preserve">lesion sensitivity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Hidden-agent perturbation</w:t>
            </w:r>
          </w:p>
        </w:tc>
        <w:tc>
          <w:tcPr/>
          <w:p>
            <w:pPr>
              <w:pStyle w:val="Compact"/>
            </w:pPr>
            <w:r>
              <w:t xml:space="preserve">subtly damaged agent inside a distributed system</w:t>
            </w:r>
          </w:p>
        </w:tc>
        <w:tc>
          <w:tcPr/>
          <w:p>
            <w:pPr>
              <w:pStyle w:val="Compact"/>
            </w:pPr>
            <w:r>
              <w:t xml:space="preserve">detect and respond to the damaged agent</w:t>
            </w:r>
          </w:p>
        </w:tc>
        <w:tc>
          <w:tcPr/>
          <w:p>
            <w:pPr>
              <w:pStyle w:val="Compact"/>
            </w:pPr>
            <w:r>
              <w:t xml:space="preserve">detection and response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Body-schema update probe</w:t>
            </w:r>
          </w:p>
        </w:tc>
        <w:tc>
          <w:tcPr/>
          <w:p>
            <w:pPr>
              <w:pStyle w:val="Compact"/>
            </w:pPr>
            <w:r>
              <w:t xml:space="preserve">added, removed, swapped, or sensor-modified agents</w:t>
            </w:r>
          </w:p>
        </w:tc>
        <w:tc>
          <w:tcPr/>
          <w:p>
            <w:pPr>
              <w:pStyle w:val="Compact"/>
            </w:pPr>
            <w:r>
              <w:t xml:space="preserve">update the internal body schema after configuration change</w:t>
            </w:r>
          </w:p>
        </w:tc>
        <w:tc>
          <w:tcPr/>
          <w:p>
            <w:pPr>
              <w:pStyle w:val="Compact"/>
            </w:pPr>
            <w:r>
              <w:t xml:space="preserve">convergence speed and final accuracy</w:t>
            </w:r>
          </w:p>
        </w:tc>
      </w:tr>
    </w:tbl>
    <w:bookmarkEnd w:id="21"/>
    <w:bookmarkStart w:id="25" w:name="Xdc8423dc0de1b01f75bf56856d27577d2a24b2f"/>
    <w:p>
      <w:pPr>
        <w:pStyle w:val="Heading2"/>
      </w:pPr>
      <w:r>
        <w:t xml:space="preserve">S5. Minimal Attention Diagnostic Stress Tests and Construct Variants</w:t>
      </w:r>
    </w:p>
    <w:p>
      <w:pPr>
        <w:pStyle w:val="FirstParagraph"/>
      </w:pPr>
      <w:r>
        <w:t xml:space="preserve">The main manuscript reports the compact interpretation of the minimal attention follow-up. The detailed diagnostic statistics are listed here.</w:t>
      </w:r>
    </w:p>
    <w:bookmarkStart w:id="22" w:name="X5221a0121bb622b0ecdebf5c7681be07cf18268"/>
    <w:p>
      <w:pPr>
        <w:pStyle w:val="Heading3"/>
      </w:pPr>
      <w:r>
        <w:t xml:space="preserve">S5.1 Near-Ceiling Correlations and Difficulty Diagnostics</w:t>
      </w:r>
    </w:p>
    <w:p>
      <w:pPr>
        <w:pStyle w:val="FirstParagraph"/>
      </w:pPr>
      <w:r>
        <w:t xml:space="preserve">The low-noise minimal attention 2x2 run produced near-ceiling proxy-test convergence for action agency and action ownership: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 [95% CI]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agency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0.999825 [0.999677, 0.999947]</w:t>
            </w:r>
          </w:p>
        </w:tc>
        <w:tc>
          <w:tcPr/>
          <w:p>
            <w:pPr>
              <w:pStyle w:val="Compact"/>
            </w:pPr>
            <w:r>
              <w:t xml:space="preserve">near-ceiling convergence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ownership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0.999995 [0.999990, 0.999999]</w:t>
            </w:r>
          </w:p>
        </w:tc>
        <w:tc>
          <w:tcPr/>
          <w:p>
            <w:pPr>
              <w:pStyle w:val="Compact"/>
            </w:pPr>
            <w:r>
              <w:t xml:space="preserve">near-ceiling convergence</w:t>
            </w:r>
          </w:p>
        </w:tc>
      </w:tr>
    </w:tbl>
    <w:p>
      <w:pPr>
        <w:pStyle w:val="BodyText"/>
      </w:pPr>
      <w:r>
        <w:t xml:space="preserve">When the diagnostic sweep varied action-effect noise and action-loop learning rate, convergence became less stable: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Diagnostic subset</w:t>
            </w:r>
          </w:p>
        </w:tc>
        <w:tc>
          <w:tcPr/>
          <w:p>
            <w:pPr>
              <w:pStyle w:val="Compact"/>
            </w:pPr>
            <w:r>
              <w:t xml:space="preserve">Construct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 [95% CI]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diagnostic conditions</w:t>
            </w:r>
          </w:p>
        </w:tc>
        <w:tc>
          <w:tcPr/>
          <w:p>
            <w:pPr>
              <w:pStyle w:val="Compact"/>
            </w:pPr>
            <w:r>
              <w:t xml:space="preserve">action agency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0.795 [0.762, 0.836]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diagnostic conditions</w:t>
            </w:r>
          </w:p>
        </w:tc>
        <w:tc>
          <w:tcPr/>
          <w:p>
            <w:pPr>
              <w:pStyle w:val="Compact"/>
            </w:pPr>
            <w:r>
              <w:t xml:space="preserve">action ownership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 [0.589, 0.739]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noise sweep only</w:t>
            </w:r>
          </w:p>
        </w:tc>
        <w:tc>
          <w:tcPr/>
          <w:p>
            <w:pPr>
              <w:pStyle w:val="Compact"/>
            </w:pPr>
            <w:r>
              <w:t xml:space="preserve">action agency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 [0.986, 0.994]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learning-rate sweep only</w:t>
            </w:r>
          </w:p>
        </w:tc>
        <w:tc>
          <w:tcPr/>
          <w:p>
            <w:pPr>
              <w:pStyle w:val="Compact"/>
            </w:pPr>
            <w:r>
              <w:t xml:space="preserve">action agency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 [0.030, 0.516]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learning-rate sweep only</w:t>
            </w:r>
          </w:p>
        </w:tc>
        <w:tc>
          <w:tcPr/>
          <w:p>
            <w:pPr>
              <w:pStyle w:val="Compact"/>
            </w:pPr>
            <w:r>
              <w:t xml:space="preserve">action ownership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-0.122 [-0.442, 0.225]</w:t>
            </w:r>
          </w:p>
        </w:tc>
      </w:tr>
    </w:tbl>
    <w:p>
      <w:pPr>
        <w:pStyle w:val="BodyText"/>
      </w:pPr>
      <w:r>
        <w:t xml:space="preserve">These diagnostics indicate that the near-ceiling values in the low-noise run should be treated as over-convergent rather than as unusually strong independent validation.</w:t>
      </w:r>
    </w:p>
    <w:bookmarkEnd w:id="22"/>
    <w:bookmarkStart w:id="23" w:name="s5.2-minimal-attention-boundary-probes"/>
    <w:p>
      <w:pPr>
        <w:pStyle w:val="Heading3"/>
      </w:pPr>
      <w:r>
        <w:t xml:space="preserve">S5.2 Minimal Attention Boundary Probes</w:t>
      </w:r>
    </w:p>
    <w:p>
      <w:pPr>
        <w:pStyle w:val="FirstParagraph"/>
      </w:pPr>
      <w:r>
        <w:t xml:space="preserve">Workspace dose tracked the internal boundary proxy but did not validate against independent boundary tests: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Diagnostic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 [95% CI]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 dose vs internal boundary proxy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 [0.564, 0.845]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proxy vs generic boundary probe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0.325 [-0.023, 0.620]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proxy vs attention-specific hard boundary probe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 [-0.023, 0.520]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 dose vs attention-specific hard boundary probe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 [-0.049, 0.514]</w:t>
            </w:r>
          </w:p>
        </w:tc>
      </w:tr>
    </w:tbl>
    <w:p>
      <w:pPr>
        <w:pStyle w:val="BodyText"/>
      </w:pPr>
      <w:r>
        <w:t xml:space="preserve">This supports the main text’s measurement-limited interpretation for attention-based boundary self.</w:t>
      </w:r>
    </w:p>
    <w:bookmarkEnd w:id="23"/>
    <w:bookmarkStart w:id="24" w:name="X939111c8d223170b7d3bb1d256c56c3e7516090"/>
    <w:p>
      <w:pPr>
        <w:pStyle w:val="Heading3"/>
      </w:pPr>
      <w:r>
        <w:t xml:space="preserve">S5.3 Minimal Attention Construct-Variant Mini-Study</w:t>
      </w:r>
    </w:p>
    <w:p>
      <w:pPr>
        <w:pStyle w:val="FirstParagraph"/>
      </w:pPr>
      <w:r>
        <w:t xml:space="preserve">Two intuitive attention-specific candidates did not validate: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Proxy-test r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Attention-focus self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</w:t>
            </w:r>
          </w:p>
        </w:tc>
        <w:tc>
          <w:tcPr/>
          <w:p>
            <w:pPr>
              <w:pStyle w:val="Compact"/>
            </w:pPr>
            <w:r>
              <w:t xml:space="preserve">not validated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Context-window self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</w:t>
            </w:r>
          </w:p>
        </w:tc>
        <w:tc>
          <w:tcPr/>
          <w:p>
            <w:pPr>
              <w:pStyle w:val="Compact"/>
            </w:pPr>
            <w:r>
              <w:t xml:space="preserve">not validated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Context-window dose vs independent 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0.341</w:t>
            </w:r>
          </w:p>
        </w:tc>
        <w:tc>
          <w:tcPr/>
          <w:p>
            <w:pPr>
              <w:pStyle w:val="Compact"/>
            </w:pPr>
            <w:r>
              <w:t xml:space="preserve">weak dose signal only</w:t>
            </w:r>
          </w:p>
        </w:tc>
      </w:tr>
    </w:tbl>
    <w:p>
      <w:pPr>
        <w:pStyle w:val="BodyText"/>
      </w:pPr>
      <w:r>
        <w:t xml:space="preserve">The more informative pattern was a high-agency / low-boundary profile. Across the agency-boundary grid,</w:t>
      </w:r>
      <w:r>
        <w:t xml:space="preserve"> </w:t>
      </w:r>
      <w:r>
        <w:rPr>
          <w:rStyle w:val="VerbatimChar"/>
        </w:rPr>
        <w:t xml:space="preserve">36/96</w:t>
      </w:r>
      <w:r>
        <w:t xml:space="preserve"> </w:t>
      </w:r>
      <w:r>
        <w:t xml:space="preserve">rows (</w:t>
      </w:r>
      <w:r>
        <w:rPr>
          <w:rStyle w:val="VerbatimChar"/>
        </w:rPr>
        <w:t xml:space="preserve">37.5%</w:t>
      </w:r>
      <w:r>
        <w:t xml:space="preserve">) met the criterion of high independent agency (</w:t>
      </w:r>
      <w:r>
        <w:rPr>
          <w:rStyle w:val="VerbatimChar"/>
        </w:rPr>
        <w:t xml:space="preserve">&gt;=0.70</w:t>
      </w:r>
      <w:r>
        <w:t xml:space="preserve">) and low independent boundary score (</w:t>
      </w:r>
      <w:r>
        <w:rPr>
          <w:rStyle w:val="VerbatimChar"/>
        </w:rPr>
        <w:t xml:space="preserve">&lt;0.50</w:t>
      </w:r>
      <w:r>
        <w:t xml:space="preserve">). Independent agency and independent boundary scores were largely dissociated (</w:t>
      </w:r>
      <w:r>
        <w:rPr>
          <w:rStyle w:val="VerbatimChar"/>
        </w:rPr>
        <w:t xml:space="preserve">r=0.129</w:t>
      </w:r>
      <w:r>
        <w:t xml:space="preserve">). This is retained as an architecture-conditioned diagnostic profile rather than a validated construct.</w:t>
      </w:r>
    </w:p>
    <w:bookmarkEnd w:id="24"/>
    <w:bookmarkEnd w:id="25"/>
    <w:bookmarkStart w:id="26" w:name="s6.-data-availability"/>
    <w:p>
      <w:pPr>
        <w:pStyle w:val="Heading2"/>
      </w:pPr>
      <w:r>
        <w:t xml:space="preserve">S6. Data Availability</w:t>
      </w:r>
    </w:p>
    <w:p>
      <w:pPr>
        <w:pStyle w:val="FirstParagraph"/>
      </w:pPr>
      <w:r>
        <w:t xml:space="preserve">Supplementary statistics and run metadata are stored in</w:t>
      </w:r>
      <w:r>
        <w:t xml:space="preserve"> </w:t>
      </w:r>
      <w:r>
        <w:rPr>
          <w:rStyle w:val="VerbatimChar"/>
        </w:rPr>
        <w:t xml:space="preserve">docs/paper/statistics/supplementary_20260522/</w:t>
      </w:r>
      <w:r>
        <w:t xml:space="preserve">. Supplementary figures are stored in</w:t>
      </w:r>
      <w:r>
        <w:t xml:space="preserve"> </w:t>
      </w:r>
      <w:r>
        <w:rPr>
          <w:rStyle w:val="VerbatimChar"/>
        </w:rPr>
        <w:t xml:space="preserve">docs/paper/figures/supplementary_20260522/</w:t>
      </w:r>
      <w:r>
        <w:t xml:space="preserve">.</w:t>
      </w:r>
    </w:p>
    <w:p>
      <w:pPr>
        <w:pStyle w:val="BodyText"/>
      </w:pPr>
      <w:r>
        <w:t xml:space="preserve">The source run directories are: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runs/benchmark_online_supplementary/online_20260522_173251/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runs/supplementary/transformer_validation_20260522_173251/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runs/supplementary/transformer_workspace_capacity_20260522_173251/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runs/supplementary/thalamus_workspace_capacity_20260522_173251/</w:t>
      </w:r>
    </w:p>
    <w:p>
      <w:pPr>
        <w:pStyle w:val="FirstParagraph"/>
      </w:pPr>
      <w:r>
        <w:t xml:space="preserve">These supplementary runs are not used to overwrite the frozen primary manuscript statistics.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2026-05-25T03:52:03Z</dcterms:created>
  <dcterms:modified xsi:type="dcterms:W3CDTF">2026-05-25T03:52:03Z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