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color w:val="009fdb"/>
          <w:sz w:val="20"/>
          <w:szCs w:val="20"/>
          <w:rtl w:val="0"/>
        </w:rPr>
        <w:t xml:space="preserve">GUÍA DE TRABAJO EN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Reorientar y diseñar el incremento funcional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1"/>
        <w:spacing w:after="4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Retroalimentación, objetivo, arquitectura y plan de construcción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8cceea" w:space="0" w:sz="6" w:val="single"/>
          <w:left w:color="8cceea" w:space="0" w:sz="6" w:val="single"/>
          <w:bottom w:color="8cceea" w:space="0" w:sz="6" w:val="single"/>
          <w:right w:color="8cceea" w:space="0" w:sz="6" w:val="single"/>
          <w:insideH w:color="8cceea" w:space="0" w:sz="6" w:val="single"/>
          <w:insideV w:color="8cceea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rHeight w:val="336" w:hRule="atLeast"/>
          <w:tblHeader w:val="1"/>
        </w:trPr>
        <w:tc>
          <w:tcPr>
            <w:vMerge w:val="restart"/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85.0" w:type="dxa"/>
              <w:left w:w="10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09fdb"/>
                <w:sz w:val="17"/>
                <w:szCs w:val="17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85.0" w:type="dxa"/>
              <w:left w:w="10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09fdb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21"/>
                <w:szCs w:val="21"/>
                <w:rtl w:val="0"/>
              </w:rPr>
              <w:t xml:space="preserve">Arquitectura y plan del Incremento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85.0" w:type="dxa"/>
              <w:left w:w="10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09fdb"/>
                <w:sz w:val="17"/>
                <w:szCs w:val="17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21"/>
                <w:szCs w:val="21"/>
                <w:rtl w:val="0"/>
              </w:rPr>
              <w:t xml:space="preserve">Primera demostración y defensa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85.0" w:type="dxa"/>
              <w:left w:w="10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09fdb"/>
                <w:sz w:val="17"/>
                <w:szCs w:val="17"/>
                <w:rtl w:val="0"/>
              </w:rPr>
              <w:t xml:space="preserve">DEFENSA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21"/>
                <w:szCs w:val="21"/>
                <w:rtl w:val="0"/>
              </w:rPr>
              <w:t xml:space="preserve">Semana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vMerge w:val="continue"/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85.0" w:type="dxa"/>
              <w:left w:w="10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85.0" w:type="dxa"/>
              <w:left w:w="10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85.0" w:type="dxa"/>
              <w:left w:w="10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85.0" w:type="dxa"/>
              <w:left w:w="10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20.0" w:type="dxa"/>
        <w:tblBorders>
          <w:top w:color="12365f" w:space="0" w:sz="2" w:val="single"/>
          <w:left w:color="12365f" w:space="0" w:sz="2" w:val="single"/>
          <w:bottom w:color="12365f" w:space="0" w:sz="2" w:val="single"/>
          <w:right w:color="12365f" w:space="0" w:sz="2" w:val="single"/>
          <w:insideH w:color="12365f" w:space="0" w:sz="2" w:val="single"/>
          <w:insideV w:color="12365f" w:space="0" w:sz="2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2365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52.00000000000003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9fdb"/>
                <w:rtl w:val="0"/>
              </w:rPr>
              <w:t xml:space="preserve">Pregunta rectora: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¿Qué debe cambiar en el producto y en la forma de construirlo después de la primera defensa?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Propósito y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La Semana 6 transforma la retroalimentación de la primera defensa en un objetivo de incremento, una arquitectura suficiente para construirlo y un plan verificable para las semanas 7 a 9.</w:t>
      </w:r>
    </w:p>
    <w:tbl>
      <w:tblPr>
        <w:tblStyle w:val="Table3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Definición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Convertir observaciones de la defensa en decisiones y acciones trazables.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Enfocar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el resultado, la hipótesis de valor, el flujo prioritario y los límites.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Asignar responsabilidades a componentes, contratos y datos según drivers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Ordenar PBIs, riesgos, spikes, revisiones y evidencia para las semanas 7 a 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20.0" w:type="dxa"/>
        <w:tblBorders>
          <w:top w:color="f0d998" w:space="0" w:sz="3" w:val="single"/>
          <w:left w:color="f0d998" w:space="0" w:sz="3" w:val="single"/>
          <w:bottom w:color="f0d998" w:space="0" w:sz="3" w:val="single"/>
          <w:right w:color="f0d998" w:space="0" w:sz="3" w:val="single"/>
          <w:insideH w:color="f0d998" w:space="0" w:sz="3" w:val="single"/>
          <w:insideV w:color="f0d998" w:space="0" w:sz="3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4d6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52.00000000000003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9a6700"/>
                <w:sz w:val="21"/>
                <w:szCs w:val="21"/>
                <w:rtl w:val="0"/>
              </w:rPr>
              <w:t xml:space="preserve">Ejemplo TurnoÁgil: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EV-03 → PBI-02 → DA-04 → ADR-02 → AC-CON-01: la incertidumbre sobre la espera conduce a una reserva verificable y a una decisión de concurrencia.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Retroalimentación de la primera defensa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Registrar hechos observables. Después identificar su impacto y el artefacto que debe cambiar. Evitar soluciones generales como “mejorar la aplicación”.</w:t>
      </w:r>
    </w:p>
    <w:tbl>
      <w:tblPr>
        <w:tblStyle w:val="Table5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Observación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Decisión o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20.0" w:type="dxa"/>
        <w:tblBorders>
          <w:top w:color="f0d998" w:space="0" w:sz="3" w:val="single"/>
          <w:left w:color="f0d998" w:space="0" w:sz="3" w:val="single"/>
          <w:bottom w:color="f0d998" w:space="0" w:sz="3" w:val="single"/>
          <w:right w:color="f0d998" w:space="0" w:sz="3" w:val="single"/>
          <w:insideH w:color="f0d998" w:space="0" w:sz="3" w:val="single"/>
          <w:insideV w:color="f0d998" w:space="0" w:sz="3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4d6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9a6700"/>
                <w:sz w:val="21"/>
                <w:szCs w:val="21"/>
                <w:rtl w:val="0"/>
              </w:rPr>
              <w:t xml:space="preserve">Ejemplo TurnoÁgil: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“El sistema se ve confuso” todavía no es suficiente. “No se distingue si la carga está vigente” permite actualizar aceptación y diseño.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Retrospectiva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Analizar prácticas, no personas. Cada cambio debe tener responsable, plazo y una evidencia que permita comprobarlo.</w:t>
      </w:r>
    </w:p>
    <w:tbl>
      <w:tblPr>
        <w:tblStyle w:val="Table7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Práctica 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Acción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Mantener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Trazabilidad desde Evidencia hasta PBI.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Los pulls y push deben incluir los IDs de los PBIs modificados y los ACs correspondientes.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Todo el Equipo ·  Continuo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Corregir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Problemas de integración al código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Todo progreso debe recibir una aprobación de otro integrante antes de hacer merge en la rama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Vicente Herrera ·  Viernes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Detener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Desviaciones a tareas de poca prioridad.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No comenzar el progreso en ítems secundarios hasta completar los PBIs centrales.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Mateo Gonzalez · Lunes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Comenzar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Integración entre app móvil y base de datos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Ejecutar y registrar pruebas de conexión de la app a una base de datos simulada.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Javier Cornejo, Fernanda Ramirez · Jueves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Objetivo del Incremento Funcional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El objetivo debe describir quién completa qué resultado, dentro de qué límite y con qué evidencia. No enumerar componentes técnicos.</w:t>
      </w:r>
    </w:p>
    <w:tbl>
      <w:tblPr>
        <w:tblStyle w:val="Table8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y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Trabajador que necesita registrar una transacción.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Registrar una venta y cobrar al cliente, actualizando su saldo y registrando en el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Uso de datos simulados, sin pasarelas de pago y sin sincronización offline (por el momento).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Usuario de prueba logra registrar ventas y pagos actualizando correctamente la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Hipótesis de valor y señal de éxito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Formular una relación que pueda ser refutada. La señal debe permitir mantener, modificar o descartar una decisión.</w:t>
      </w:r>
    </w:p>
    <w:tbl>
      <w:tblPr>
        <w:tblStyle w:val="Table9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Hipótesis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Señal observable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Decisión según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Crear una interfaz simple para el registro de ventas le permite a los trabajadores gestionar rápidamente, prefiriendo usarla antes que el papel.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El usuario de prueba completa el flujo de registro en menos de un minuto.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Si el proceso dura más de un minuto se debe rediseñar la interfaz o el flujo de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Si el sistema realiza los cálculos automáticamente al ingresar pagos, se eliminan las discrepancias generadas por los cálculos manuales.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Al registrar pagos simulados no se reportan errores o descuadres en los cálculos de saldos restantes.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Si el saldo final presenta discrepancias se debe verificar el flujo e implementar alertas en caso de errores.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Alcance y flujo prioritario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Proteger el objetivo mediante límites explícitos. Después describir el flujo y sus desvíos prioritarios.</w:t>
      </w:r>
    </w:p>
    <w:tbl>
      <w:tblPr>
        <w:tblStyle w:val="Table10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Capacidades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Registros de venta y pago, clientes precargados, actualización de saldo y guardados locales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Necesario para validar el flujo central y la hipótesis de reemplazo de medios físicos.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Posterga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Consultas de historial y sincronización offline.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Las consultas de historial son secundarias por el momento, el uso offline conlleva mayor complejidad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Creación de clientes nuevos, portal de consultas para clientes, pasarelas de pago online, tracking.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Dependencias externas y desenfoque de la digitalización interna.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Recorrido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Resultado observable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Abre app →  Selecciona cliente →  Registra venta →  Confirma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Se registra la venta, vinculada correctamente al cliente y en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Abre app →  Busca deuda de cliente →  Ingresa monto a abonar →  Confirma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Se registra el pago y se actualiza la deuda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Intento de registrar abono a cliente sin deuda.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Se rechaza el registro y se notifica la razón por medio de una alerta controlada.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Refinamiento del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Actualizar el backlog según valor, aprendizaje, riesgo y dependencia. Un cambio justificado demuestra aprendizaje.</w:t>
      </w:r>
    </w:p>
    <w:tbl>
      <w:tblPr>
        <w:tblStyle w:val="Table12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Resultado del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PBI-01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both"/>
              <w:rPr>
                <w:i w:val="1"/>
                <w:iCs w:val="1"/>
                <w:color w:val="60758a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Registrar venta asociada a un cliente preexistente.</w:t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Valor y aprendizaje alto; sostiene hipótesis.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PBI-02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Registro de pago y actualización de deuda.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Valor alto; permite verificar el flujo de caja.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PBI-03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Consulta de saldo e historial de pagos.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Completa el requisito de visibilidad para el dueño.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SPIKE-01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Investigar almacenamiento local (sin conexión).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Aprendizaje necesario para manejar las pérdidas de conexión antes de programar.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Fuera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PBI-05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Sincronización offline..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Incertidumbre alta, postergado.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Fuera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PBI-04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Portal para consultas web.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Desenfoca la prioridad que es digitalizar para los trabajadores.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Criterios de aceptación actualizados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Incluir recorridos normales, alternativos y de error. Un tercero debe poder decidir si cada criterio pasa o falla.</w:t>
      </w:r>
    </w:p>
    <w:tbl>
      <w:tblPr>
        <w:tblStyle w:val="Table13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AC-01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Dado un cliente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Cuando se registra una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La venta se almacena vinculada al cliente y su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AC-02 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Dado un cliente con deuda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Cuando se registra un pago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El pago se registra y se actualiza la deuda mostrando el saldo restante.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AC-02 LIM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Alternativo Limite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Dado un cliente con deuda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Cuando se registra un pago del total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El pago se registra y la deuda se da por saldada.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AC-01 ERR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Dado que estoy registrando una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Cuando confirmo datos sin seleccionar un cliente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El sistema no guarda la venta y avisa que debe asignarse a un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AC-02 ERR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Dado que el cliente no presenta deuda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Cuando intento registrar un pago a su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El sistema rechaza la operación y muestra la razón en pantalla.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 Drivers arquitectónicos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Seleccionar los flujos, atributos, restricciones y riesgos que realmente condicionan la arquitectura del incremento.</w:t>
      </w:r>
    </w:p>
    <w:tbl>
      <w:tblPr>
        <w:tblStyle w:val="Table14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Consecuencia arquitectónica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DA-01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Sincronización y uso offline.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Obliga a la existencia de datos locales y planificación de un SPIKE.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DA-02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Los cálculos deben ser instantáneos.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La lógica de actualización debe realizarse desde el lado del servidor, no localmente.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DA-03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Registros de quién y cuándo se realizan cambios.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Las tablas deben incluir cambios de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DA-04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Riesgo de descuadres por interrupciones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Uso de las bases de datos relacional transaccional para asegurar que un pago no se guarde a medias.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 Contexto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Identificar personas, sistemas externos, interacción y condición de alcance. Insertar además un diagrama de contexto legible.</w:t>
      </w:r>
    </w:p>
    <w:tbl>
      <w:tblPr>
        <w:tblStyle w:val="Table15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Actor 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Interacción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Registra ventas, pagos, consulta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Consulta el registro para asegurar trazabilidad de pagos y ventas sin errores.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Almacena y provee los datos de clientes, historial, ventas y actualizaciones de saldos.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Recibe pedidos y podrá consultar su deuda e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Fuera del incremento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Pasarela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Permitiría procesar los pagos de los clientes en la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Excluido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Diagrama de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App en el centro, trabajador y dueño conectados directamente al sistema, interacción con la base de datos. Cliente fuera del incremento, pasarela excluida.</w:t>
            </w:r>
            <w:r w:rsidDel="00000000" w:rsidR="00000000" w:rsidRPr="00000000">
              <w:rPr>
                <w:rtl w:val="0"/>
              </w:rPr>
            </w:r>
          </w:p>
          <w:p>
            <w:pPr>
              <w:jc w:val="center"/>
            </w:pPr>
            <w:r>
              <w:drawing>
                <wp:inline>
                  <wp:extent cx="5486400" cy="312610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ext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26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115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11. Contenedores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Describir cada aplicación o servicio ejecutable mediante su responsabilidad dominante, tecnología y relaciones.</w:t>
      </w:r>
    </w:p>
    <w:tbl>
      <w:tblPr>
        <w:tblStyle w:val="Table17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Contenedor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Se relaciona 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App móvil React Native + Expo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Presenta clientes, deuda y formularios de venta y abono; envía comandos.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API Node.js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API 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Aplica reglas, calcula saldos y registra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App móvil y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Conserva clientes, ventas y abonos con integridad transaccional.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Almacenamiento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Datos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Guarda los clientes precargados; sin sincronización offline por ahora.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App móvil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20.0" w:type="dxa"/>
        <w:tblBorders>
          <w:top w:color="f0d998" w:space="0" w:sz="3" w:val="single"/>
          <w:left w:color="f0d998" w:space="0" w:sz="3" w:val="single"/>
          <w:bottom w:color="f0d998" w:space="0" w:sz="3" w:val="single"/>
          <w:right w:color="f0d998" w:space="0" w:sz="3" w:val="single"/>
          <w:insideH w:color="f0d998" w:space="0" w:sz="3" w:val="single"/>
          <w:insideV w:color="f0d998" w:space="0" w:sz="3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4d6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52.00000000000003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9a6700"/>
                <w:sz w:val="21"/>
                <w:szCs w:val="21"/>
                <w:rtl w:val="0"/>
              </w:rPr>
              <w:t xml:space="preserve">Ejemplo TurnoÁgil: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La interfaz representa el resultado; la API decide disponibilidad definitiva; PostgreSQL protege integridad.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12. Componentes y límites internos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Detallar solo componentes relevantes para el flujo o los riesgos principales. Declarar qué hace y qué no hace cada uno.</w:t>
      </w:r>
    </w:p>
    <w:tbl>
      <w:tblPr>
        <w:tblStyle w:val="Table19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Contenedor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Límite explícito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FormularioVenta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App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Captura cliente, productos y tipo de pago; valida campos.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No calcula saldos.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VentaController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Traduce HTTP y respuestas.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No contiene reglas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RegistrarAbono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Orquesta el caso de uso: valida deuda, aplica FIFO y guarda en una transacción.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No conoce SQL ni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SaldoCliente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Calcula saldo pendiente y estado de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No genera respuestas HTTP.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VentaRepository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Guarda y consulta ventas, abonos y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No decide presentación.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13. Contratos 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Registrar entradas, salidas y errores observables. Cada respuesta relevante debe enlazarse con aceptación y pruebas.</w:t>
      </w:r>
    </w:p>
    <w:tbl>
      <w:tblPr>
        <w:tblStyle w:val="Table20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Errores controlados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Enlaces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POST /ventas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{ clienteId, tipoPago, pie?, items[]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201 { ventaId, montoTotal, saldoPendiente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422 CLIENTE_INVALIDO; 422 SIN_PRODUCTOS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AC-01, AC-01 ERR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POST /abonos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{ clienteId, monto, metodoPago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201 { abonoId, saldoRestante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409 SIN_DEUDA; 422 MONTO_INVALIDO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AC-02 ALT, AC-02 LIM, AC-02 ERR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GET /clientes/:id/deuda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sin datos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200 { deudaTotal, ventasPendientes[]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404 CLIENTE_NO_ENCONTRADO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PBI-03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-120.0" w:type="dxa"/>
        <w:tblBorders>
          <w:top w:color="f0d998" w:space="0" w:sz="3" w:val="single"/>
          <w:left w:color="f0d998" w:space="0" w:sz="3" w:val="single"/>
          <w:bottom w:color="f0d998" w:space="0" w:sz="3" w:val="single"/>
          <w:right w:color="f0d998" w:space="0" w:sz="3" w:val="single"/>
          <w:insideH w:color="f0d998" w:space="0" w:sz="3" w:val="single"/>
          <w:insideV w:color="f0d998" w:space="0" w:sz="3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4d6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52.00000000000003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9a6700"/>
                <w:sz w:val="21"/>
                <w:szCs w:val="21"/>
                <w:rtl w:val="0"/>
              </w:rPr>
              <w:t xml:space="preserve">Ejemplo TurnoÁgil: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El contrato omite identidad y pago porque ambos quedaron excluidos del incremento.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 Modelo conceptual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Modelar entidades, relaciones y restricciones necesarias para el comportamiento comprometido. Evitar campos sin justificación.</w:t>
      </w:r>
    </w:p>
    <w:tbl>
      <w:tblPr>
        <w:tblStyle w:val="Table22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Atributos necesarios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7"/>
                <w:szCs w:val="17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id, rut, nombre, deudaTotal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Tiene muchas ventas y abonos.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rut único; deudaTotal nunca negativa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id, clienteId, fecha, tipoPago, montoTotal, pie, saldoPendiente, estadoPago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Pertenece a un cliente; recibe aplicaciones de abono.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saldoPendiente ≥ 0; venta al contado nace pagada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DetalleVenta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id, ventaId, productoId, cantidad, precioUnitario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Pertenece a una venta.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precio fijo al momento de vender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Abono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id, clienteId, monto, metodoPago,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Se reparte en aplicaciones sobre ventas (FIFO).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monto &gt; 0; suma de aplicaciones = monto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id, usuarioId, acción, entidad,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Registra cambios de ventas y abonos.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7"/>
                <w:szCs w:val="17"/>
                <w:rtl w:val="0"/>
              </w:rPr>
              <w:t xml:space="preserve">solo inserción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-120.0" w:type="dxa"/>
        <w:tblBorders>
          <w:top w:color="f0d998" w:space="0" w:sz="3" w:val="single"/>
          <w:left w:color="f0d998" w:space="0" w:sz="3" w:val="single"/>
          <w:bottom w:color="f0d998" w:space="0" w:sz="3" w:val="single"/>
          <w:right w:color="f0d998" w:space="0" w:sz="3" w:val="single"/>
          <w:insideH w:color="f0d998" w:space="0" w:sz="3" w:val="single"/>
          <w:insideV w:color="f0d998" w:space="0" w:sz="3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4d6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52.00000000000003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9a6700"/>
                <w:sz w:val="21"/>
                <w:szCs w:val="21"/>
                <w:rtl w:val="0"/>
              </w:rPr>
              <w:t xml:space="preserve">Ejemplo TurnoÁgil: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La prueba concurrente verifica que solo exista una reserva vigente y que la capacidad final sea cero, no negativa.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15. Escenarios de atributos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Cada escenario debe declarar condición, respuesta y medida reproducible. Solo seleccionar atributos pertinentes al incremento.</w:t>
      </w:r>
    </w:p>
    <w:tbl>
      <w:tblPr>
        <w:tblStyle w:val="Table24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RNF-INT-01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Falla a mitad de registrar un abono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Revertir la operación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0 registros parciales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Prueba de integración con falla inyectada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RNF-EXA-01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Exactitud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30 pagos parciales y totales simulados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Saldo restante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0 discrepancias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Prueba automatizada con saldos conocidos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RNF-REN-01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Usuario de prueba registra una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Confirmar la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Flujo &lt; 60 s; API ≤ 2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Cronometraje con usuarios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RNF-AUD-01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Auditabilidad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Se crea una venta o un abono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Registrar quién y cuándo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100 % con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Revisión de auditoría tras las pruebas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16. Registro de decisión arquitectónica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Registrar una decisión con consecuencias relevantes. Incluir alternativas y la condición que justificaría revisarla.</w:t>
      </w:r>
    </w:p>
    <w:tbl>
      <w:tblPr>
        <w:tblStyle w:val="Table25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y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ADR-01 · Aceptada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Los saldos deben ser exactos y un pago no puede guardarse a medias; el celular no es una fuente confiable de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Calcular en la app; calcular en la API sin transacción; calcular en la API dentro de una transacción.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La API calcula saldos y guarda venta, abono y auditoría en una transacción de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Consecuencias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Prueba con falla inyectada; cada operación requiere conexión (offline queda en SPIKE-01); mayor complejidad en 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cuando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SPIKE-01 muestre que el trabajo sin conexión es indispensable en terreno.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-120.0" w:type="dxa"/>
        <w:tblBorders>
          <w:top w:color="f0d998" w:space="0" w:sz="3" w:val="single"/>
          <w:left w:color="f0d998" w:space="0" w:sz="3" w:val="single"/>
          <w:bottom w:color="f0d998" w:space="0" w:sz="3" w:val="single"/>
          <w:right w:color="f0d998" w:space="0" w:sz="3" w:val="single"/>
          <w:insideH w:color="f0d998" w:space="0" w:sz="3" w:val="single"/>
          <w:insideV w:color="f0d998" w:space="0" w:sz="3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4d6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52.00000000000003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9a6700"/>
                <w:sz w:val="21"/>
                <w:szCs w:val="21"/>
                <w:rtl w:val="0"/>
              </w:rPr>
              <w:t xml:space="preserve">Ejemplo TurnoÁgil: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ADR-02 no afirma que la alternativa sea universalmente mejor; explica por qué resulta adecuada bajo los drivers actuales.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17. Spike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Usar un spike cuando la incertidumbre impida decidir o estimar. Limitar tiempo, alternativas, evidencia y decisión esperada.</w:t>
      </w:r>
    </w:p>
    <w:tbl>
      <w:tblPr>
        <w:tblStyle w:val="Table27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SPIKE-01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¿Qué almacenamiento local permite guardar operaciones sin conexión y reenviarlas sin duplicar ni descuadrar saldos?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Tamaño 5; dos alternativas (AsyncStorage y expo-sqlite); 100 registros por alternativa; sin implementar sincronización.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Prototipo, tabla de resultados y versión del entorno.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Elegir almacenamiento y decidir si PBI-05 se estima para el siguiente incremento.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20"/>
                <w:szCs w:val="20"/>
                <w:rtl w:val="0"/>
              </w:rPr>
              <w:t xml:space="preserve">Javier Cornejo · Semana 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18. Riesgos prioritarios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Asociar cada riesgo con una señal, respuesta, responsable y fecha de revisión. Incluir riesgos de producto, técnicos, seguridad y proyecto.</w:t>
      </w:r>
    </w:p>
    <w:tbl>
      <w:tblPr>
        <w:tblStyle w:val="Table28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RSK-01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Falla la integración entre la app y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Pruebas de conexión a una base simulada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Javier · S7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RSK-02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Descuadre de saldos por interrupciones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Transacción + prueba con falla inyectada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Fernanda · S8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RSK-03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Integración tardía al código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Revisión de otra persona antes de cada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Vicente · S7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RSK-04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Exposición de datos de clientes (RUT, deudas)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HTTPS, hash de contraseñas y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Vicente · S8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RSK-05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La interfaz es lenta y siguen usando 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Medir el flujo (&lt; 1 min) y rediseñar si falla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Mateo · S9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19. Plan de construcción de las semanas 7 a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Planificar resultados integrados y evidencia. Cada fila debe indicar responsable de coordinación y persona revisora.</w:t>
      </w:r>
    </w:p>
    <w:tbl>
      <w:tblPr>
        <w:tblStyle w:val="Table29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Ítems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Coordina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Revisa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PBI-01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Venta vertical mínima conectada a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Prueba de conexión; PR con AC-01 y AC-01 ERR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Javier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Vicente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PBI-02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Abonos, saldo y casos de borde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Pruebas AC-02 ALT, LIM y ERR; RNF-INT-01 y RNF-EXA-01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Fernanda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Mateo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PBI-03, SPIKE-01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Consulta de saldo e historial; versión candidata 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Pantalla de saldo; nota del spike; RNF-REN-01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Vicente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Fernanda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-120.0" w:type="dxa"/>
        <w:tblBorders>
          <w:top w:color="f0d998" w:space="0" w:sz="3" w:val="single"/>
          <w:left w:color="f0d998" w:space="0" w:sz="3" w:val="single"/>
          <w:bottom w:color="f0d998" w:space="0" w:sz="3" w:val="single"/>
          <w:right w:color="f0d998" w:space="0" w:sz="3" w:val="single"/>
          <w:insideH w:color="f0d998" w:space="0" w:sz="3" w:val="single"/>
          <w:insideV w:color="f0d998" w:space="0" w:sz="3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4d6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252.00000000000003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9a6700"/>
                <w:sz w:val="21"/>
                <w:szCs w:val="21"/>
                <w:rtl w:val="0"/>
              </w:rPr>
              <w:t xml:space="preserve">Ejemplo TurnoÁgil: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El plan no separa “frontend Semana 7” y “backend Semana 8”; integra un recorrido pequeño durante la Semana 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20. Revisión cruzada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Otro equipo debe intentar recorrer la trazabilidad y encontrar una decisión, borde o riesgo ausente. Registrar observaciones accionables.</w:t>
      </w:r>
    </w:p>
    <w:tbl>
      <w:tblPr>
        <w:tblStyle w:val="Table31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Prueba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Artefacto afectado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21. Bitácora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1"/>
        <w:spacing w:line="269" w:lineRule="auto"/>
        <w:jc w:val="both"/>
        <w:rPr/>
      </w:pPr>
      <w:r w:rsidDel="00000000" w:rsidR="00000000" w:rsidRPr="00000000">
        <w:rPr>
          <w:rtl w:val="0"/>
        </w:rPr>
        <w:t xml:space="preserve">Cada integrante registra una contribución significativa, su efecto, la evidencia y lo aprendido. No se mide cantidad bruta de commits.</w:t>
      </w:r>
    </w:p>
    <w:tbl>
      <w:tblPr>
        <w:tblStyle w:val="Table32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Contribución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6"/>
                <w:szCs w:val="16"/>
                <w:rtl w:val="0"/>
              </w:rPr>
              <w:t xml:space="preserve">Aprendizaje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6"/>
                <w:szCs w:val="16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Anexo A. Comprobación final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e8eef5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Ubicación o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retroalimentación de la Semana 5 produjo decisiones y acciones trazables.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Falta completar la sección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objetivo describe un resultado del usuario y una evidencia observable.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Secciones 4 y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alcance declara inclusiones, postergaciones y exclusiones justificadas.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Sección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Existe un flujo prioritario con casos normal, alternativo y de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Secciones 6 (F-01 a F-03) y 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backlog está refinado y ordenado por valor, aprendizaje, riesgo y dependencia.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Sección 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drivers justifican contexto, contenedores, componentes, contratos y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Secciones 9 a 14.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atributos de calidad poseen escenarios y métodos de verificación.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Sección 15.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decisiones o incertidumbres críticas tienen ADR o spike.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Secciones 16 y 17.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riesgos tienen respuesta, responsable y fecha de revisión.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Sección 18.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plan de semanas 7 a 9 entrega resultados integrados y evidencia individual.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6" w:val="single"/>
              <w:left w:color="d9e2e8" w:space="0" w:sz="6" w:val="single"/>
              <w:bottom w:color="d9e2e8" w:space="0" w:sz="6" w:val="single"/>
              <w:right w:color="d9e2e8" w:space="0" w:sz="6" w:val="single"/>
            </w:tcBorders>
            <w:shd w:fill="f3f8fc" w:val="clear"/>
            <w:tcMar>
              <w:top w:w="65.0" w:type="dxa"/>
              <w:left w:w="75.0" w:type="dxa"/>
              <w:bottom w:w="6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0758a"/>
                <w:sz w:val="18"/>
                <w:szCs w:val="18"/>
                <w:rtl w:val="0"/>
              </w:rPr>
              <w:t xml:space="preserve">Plan en sección 19; faltan las secciones 20 y 21.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spacing w:after="10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Anexo B. Fuentes de 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259"/>
        <w:jc w:val="both"/>
        <w:rPr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ISO/IEC/IEEE 29148. Ingeniería de requisitos y características de requisitos verificables.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259"/>
        <w:jc w:val="both"/>
        <w:rPr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NIST Secure Software Development Framework. Prácticas de desarrollo seguro integradas al ciclo de vida.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259"/>
        <w:jc w:val="both"/>
        <w:rPr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C4 Model. Contexto, contenedores y componentes para comunicar arquitectura.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259"/>
        <w:jc w:val="both"/>
        <w:rPr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Architecture Decision Records. Registro breve de contexto, decisión y consecuencias.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360" w:right="0" w:hanging="259"/>
        <w:jc w:val="both"/>
        <w:rPr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Scrum Guide 2020. Incremento, Product Backlog y adaptación basada en inspección.</w:t>
      </w:r>
    </w:p>
    <w:sectPr>
      <w:headerReference r:id="rId6" w:type="default"/>
      <w:footerReference r:id="rId7" w:type="default"/>
      <w:pgSz w:h="15840" w:w="12240" w:orient="portrait"/>
      <w:pgMar w:bottom="900" w:top="9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7186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7186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4"/>
      <w:tblW w:w="9360.0" w:type="dxa"/>
      <w:jc w:val="left"/>
      <w:tblInd w:w="-12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200"/>
      <w:gridCol w:w="3160"/>
      <w:tblGridChange w:id="0">
        <w:tblGrid>
          <w:gridCol w:w="6200"/>
          <w:gridCol w:w="3160"/>
        </w:tblGrid>
      </w:tblGridChange>
    </w:tblGrid>
    <w:tr>
      <w:trPr>
        <w:cantSplit w:val="0"/>
        <w:tblHeader w:val="0"/>
      </w:trPr>
      <w:tc>
        <w:tcPr>
          <w:tcMar>
            <w:top w:w="80.0" w:type="dxa"/>
            <w:left w:w="120.0" w:type="dxa"/>
            <w:bottom w:w="80.0" w:type="dxa"/>
            <w:right w:w="120.0" w:type="dxa"/>
          </w:tcMar>
          <w:vAlign w:val="center"/>
        </w:tcPr>
        <w:p w:rsidR="00000000" w:rsidDel="00000000" w:rsidP="00000000" w:rsidRDefault="00000000" w:rsidRPr="00000000" w14:paraId="0000027F">
          <w:pPr>
            <w:spacing w:after="0" w:line="276" w:lineRule="auto"/>
            <w:rPr/>
          </w:pPr>
          <w:r w:rsidDel="00000000" w:rsidR="00000000" w:rsidRPr="00000000">
            <w:rPr>
              <w:b w:val="1"/>
              <w:bCs w:val="1"/>
              <w:color w:val="1d4478"/>
              <w:sz w:val="19"/>
              <w:szCs w:val="19"/>
              <w:rtl w:val="0"/>
            </w:rPr>
            <w:t xml:space="preserve">Taller de Desarrollo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80.0" w:type="dxa"/>
            <w:left w:w="120.0" w:type="dxa"/>
            <w:bottom w:w="80.0" w:type="dxa"/>
            <w:right w:w="120.0" w:type="dxa"/>
          </w:tcMar>
          <w:vAlign w:val="center"/>
        </w:tcPr>
        <w:p w:rsidR="00000000" w:rsidDel="00000000" w:rsidP="00000000" w:rsidRDefault="00000000" w:rsidRPr="00000000" w14:paraId="00000280">
          <w:pPr>
            <w:spacing w:after="0" w:line="276" w:lineRule="auto"/>
            <w:jc w:val="right"/>
            <w:rPr/>
          </w:pPr>
          <w:r w:rsidDel="00000000" w:rsidR="00000000" w:rsidRPr="00000000">
            <w:rPr>
              <w:b w:val="1"/>
              <w:bCs w:val="1"/>
              <w:color w:val="009fdb"/>
              <w:sz w:val="19"/>
              <w:szCs w:val="19"/>
              <w:rtl w:val="0"/>
            </w:rPr>
            <w:t xml:space="preserve">Semana 6 | Guía de trabajo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60" w:line="240" w:lineRule="auto"/>
    </w:pPr>
    <w:rPr>
      <w:rFonts w:ascii="Calibri" w:cs="Calibri" w:eastAsia="Calibri" w:hAnsi="Calibri"/>
      <w:b w:val="1"/>
      <w:bCs w:val="1"/>
      <w:color w:val="1d4478"/>
      <w:sz w:val="58"/>
      <w:szCs w:val="58"/>
    </w:rPr>
  </w:style>
  <w:style w:type="paragraph" w:styleId="Subtitle">
    <w:name w:val="Subtitle"/>
    <w:basedOn w:val="Normal"/>
    <w:next w:val="Normal"/>
    <w:pPr>
      <w:spacing w:after="360" w:lineRule="auto"/>
    </w:pPr>
    <w:rPr>
      <w:rFonts w:ascii="Calibri" w:cs="Calibri" w:eastAsia="Calibri" w:hAnsi="Calibri"/>
      <w:i w:val="1"/>
      <w:iCs w:val="1"/>
      <w:color w:val="5a7186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