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Fix calcolo consumo carburante OBD-II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Specifiche tecniche per implementazione — Diesel 1.9L, 4 cilindri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Revisione: 1.0 — Aprile 2026</w:t>
      </w:r>
    </w:p>
    <w:p>
      <w:pPr>
        <w:pStyle w:val="Heading1"/>
      </w:pPr>
      <w:r>
        <w:t xml:space="preserve">1. Problema riscontrato</w:t>
      </w:r>
    </w:p>
    <w:p>
      <w:r>
        <w:t xml:space="preserve">Il metodo MAF (Mass Air Flow) per il calcolo del consumo istantaneo in L/100km restituisce valori sistematicamente sottostimati di un fattore ~3×, con letture di circa 5 km/L contro i 15 km/L effettivi.</w:t>
      </w:r>
    </w:p>
    <w:p/>
    <w:p>
      <w:r>
        <w:rPr>
          <w:b w:val="false"/>
          <w:bCs w:val="false"/>
        </w:rPr>
        <w:t xml:space="preserve">Sono state identificate due cause principali:</w:t>
      </w:r>
    </w:p>
    <w:p/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Bug critico: incongruenza di unità di misura nel calcolo MAF (g/s trattati come kg/s)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Limitazione strutturale: il MAF è intrinsecamente inaffidabile sui diesel con EGR attivo</w:t>
      </w:r>
    </w:p>
    <w:p/>
    <w:p>
      <w:pPr>
        <w:pStyle w:val="Heading1"/>
      </w:pPr>
      <w:r>
        <w:t xml:space="preserve">2. Piano interventi per priorità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8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Intervento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 atteso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Alta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unità MAF: g/s → kg/s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Fattore ×3–×10 di correzione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Divisione per 1000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Alta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Metodo iniettori come primario su diesel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Molto alto (MAF diesel inaffidabile)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 width + RPM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Media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Gerarchia metodi con fallback automatico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Medio (robustezza generale)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PID 0x5E → Iniettori → MAF → MAP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Media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Rilevamento fuel cut (zero consumption)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Medio (correttezza medie viaggio)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RPM + TPS + velocità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Bassa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AFR dinamico da PID 0x44 (lambda)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Basso (~5–15% raffinamento)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λ × AFR_stoich = AFR_reale</w:t>
            </w:r>
          </w:p>
        </w:tc>
      </w:tr>
    </w:tbl>
    <w:p/>
    <w:p>
      <w:pPr>
        <w:pStyle w:val="Heading1"/>
      </w:pPr>
      <w:r>
        <w:t xml:space="preserve">3. Intervento 1 — Fix unità MAF [CRITICO]</w:t>
      </w:r>
    </w:p>
    <w:p>
      <w:pPr>
        <w:pStyle w:val="Heading2"/>
      </w:pPr>
      <w:r>
        <w:t xml:space="preserve">3.1 Causa del bug</w:t>
      </w:r>
    </w:p>
    <w:p>
      <w:r>
        <w:t xml:space="preserve">Il PID OBD-II standard 0x10 (MAF Air Flow Rate) restituisce il valore in g/s (grammi al secondo). La formula originale divide per la densità del gasolio espressa in kg/L, creando un'incongruenza dimensionale con un fattore 1000.</w:t>
      </w:r>
    </w:p>
    <w:p/>
    <w:p>
      <w:r>
        <w:t xml:space="preserve">Analisi dimensionale del codice originale (ERRATO):</w:t>
      </w:r>
    </w:p>
    <w:p/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PRIMA (SBAGLIATO)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float litersPerSec = mafGps / 14.5f / 0.84f;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                  [g/s]           [kg/L]  ← unità incompatibili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Risultato: L/s × (1/1000) → consumo sottostimato di ~1000×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Dopo divisione per velocità il fattore di errore finale: ~3–10×</w:t>
      </w:r>
    </w:p>
    <w:p/>
    <w:p>
      <w:pPr>
        <w:pStyle w:val="Heading2"/>
      </w:pPr>
      <w:r>
        <w:t xml:space="preserve">3.2 Codice corretto</w:t>
      </w:r>
    </w:p>
    <w:p/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/**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Calcola il consumo istantaneo in L/100km dal MAF e dalla velocità.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@param mafGps    MAF da OBD-II PID 0x10, in g/s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@param speedKmh  Velocità in km/h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@return          Consumo in L/100km, oppure -1 se dati non validi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private float calcFuelRateMaf(float mafGps, int speedKmh)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(mafGps &lt; 0 || speedKmh &lt;= 0) return -1f;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STEP 1: MAF da OBD-II è in g/s → converti in kg/s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float mafKgPerSec = mafGps / 1000f;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STEP 2: kg_aria/s ÷ (kg_aria/kg_carb) = kg_carb/s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float fuelKgPerSec = mafKgPerSec / 14.5f;  // AFR stoichiometrico diesel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STEP 3: kg_carb/s ÷ (kg/L) = L/s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float litersPerSec = fuelKgPerSec / 0.84f;  // densità gasolio ≈ 0.84 kg/L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STEP 4: L/s → L/100km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float speedKmPerSec = speedKmh / 3600f;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(litersPerSec / speedKmPerSec) * 100f;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3.3 Verifica dimensionale</w:t>
      </w:r>
    </w:p>
    <w:p/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[g/s] / 1000          → [kg/s]       flusso aria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[kg/s] / 14.5         → [kg/s]       flusso carburante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[kg/s] / 0.84[kg/L]   → [L/s]        volume carburante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[L/s] / [km/s] × 100  → [L/100km]   ✓</w:t>
      </w:r>
    </w:p>
    <w:p/>
    <w:p>
      <w:pPr>
        <w:pStyle w:val="Heading1"/>
      </w:pPr>
      <w:r>
        <w:t xml:space="preserve">4. Intervento 2 — Metodo iniettori per diesel [CRITICO]</w:t>
      </w:r>
    </w:p>
    <w:p>
      <w:pPr>
        <w:pStyle w:val="Heading2"/>
      </w:pPr>
      <w:r>
        <w:t xml:space="preserve">4.1 Motivazione</w:t>
      </w:r>
    </w:p>
    <w:p>
      <w:r>
        <w:t xml:space="preserve">Sui motori diesel con EGR (Exhaust Gas Recirculation), il MAF misura sia l'aria fresca sia i gas di scarico ricircolati, sovrastimando l'aria effettivamente disponibile per la combustione. Il metodo basato sul tempo di iniezione (pulse width) è significativamente più accurato per i diesel.</w:t>
      </w:r>
    </w:p>
    <w:p/>
    <w:p>
      <w:r>
        <w:t xml:space="preserve">PID OBD-II da leggere: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Fuel Injection Pulse Width: PID proprietario o 0x66 (dipende dalla ECU)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Engine RPM: PID 0x0C (standard)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Numero cilindri: configurazione utente (es. 4)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Portata iniettori: configurazione utente (default 250 cc/min per 1.9L diesel)</w:t>
      </w:r>
    </w:p>
    <w:p/>
    <w:p>
      <w:pPr>
        <w:pStyle w:val="Heading2"/>
      </w:pPr>
      <w:r>
        <w:t xml:space="preserve">4.2 Implementazione</w:t>
      </w:r>
    </w:p>
    <w:p/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/**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Calcola consumo in L/100km dal tempo di iniezione.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@param injectionTimeMs   Pulse width iniettori in ms (da PID ECU)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@param rpm               Giri motore (PID 0x0C)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@param numCylinders      Numero cilindri (config utente, es. 4)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@param injectorCcPerMin  Portata iniettori in cc/min (config utente, es. 250)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@param densityKgL        Densità carburante kg/L (0.84 diesel, 0.75 benzina)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@param speedKmh          Velocità in km/h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@return                  Consumo in L/100km, oppure -1 se dati non validi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private float calcFuelRateInjector(float injectionTimeMs,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        float rpm,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        int numCylinders,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        float injectorCcPerMin,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        float densityKgL,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        int speedKmh)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(injectionTimeMs &lt;= 0 || rpm &lt;= 0 || speedKmh &lt;= 0) return -1f;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Frequenza iniezione (motore 4 tempi: 1 iniezione ogni 2 giri per cilindro)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float injFreqHz = (rpm / 2f / 60f) * numCylinders;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Volume iniettato per secondo [cc/s]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= (cc/ms × ms/iniezione) × iniezioni/s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float ccPerSec = (injectorCcPerMin / 60000f) * injectionTimeMs * injFreqHz;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cc/s → L/s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float litersPerSec = ccPerSec / 1000f;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L/s → L/100km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float speedKmPerSec = speedKmh / 3600f;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(litersPerSec / speedKmPerSec) * 100f;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pStyle w:val="Heading1"/>
      </w:pPr>
      <w:r>
        <w:t xml:space="preserve">5. Intervento 3 — Gerarchia metodi con fallback</w:t>
      </w:r>
    </w:p>
    <w:p>
      <w:pPr>
        <w:pStyle w:val="Heading2"/>
      </w:pPr>
      <w:r>
        <w:t xml:space="preserve">5.1 Logica di selezione automatica</w:t>
      </w:r>
    </w:p>
    <w:p>
      <w:r>
        <w:t xml:space="preserve">Implementare una catena di fallback che utilizzi il metodo più accurato disponibile in base ai PID restituiti dalla ECU:</w:t>
      </w:r>
    </w:p>
    <w:p/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PID 0x5E — Fuel Rate diretto (L/h): il più accurato, usarlo se disponibile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Metodo iniettori (pulse width + RPM): preferito per diesel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Metodo MAF (con fix unità): fallback se PID iniettori non disponibile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Metodo MAP (pressione collettore): fallback di ultima istanza</w:t>
      </w:r>
    </w:p>
    <w:p/>
    <w:p>
      <w:pPr>
        <w:pStyle w:val="Heading2"/>
      </w:pPr>
      <w:r>
        <w:t xml:space="preserve">5.2 Enum e classe di configurazione</w:t>
      </w:r>
    </w:p>
    <w:p/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enum FuelRateMethod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DIRECT_PID,      // PID 0x5E Fuel Rate in L/h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INJECTOR_BASED,  // Pulse width + RPM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MAF_BASED,       // MAF g/s (con fix unità)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MAP_BASED        // Pressione collettore + cilindrata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FuelRateConfig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int     numCylinders     = 4;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float   injectorCcPerMin = 250f;   // cc/min, configurabile utente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float   fuelDensity      = 0.84f;  // kg/L (diesel)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float   engineDisplL     = 1.9f;   // litri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boolean detectZeroFuel   = true;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5.3 Metodo principale con fallback</w:t>
      </w:r>
    </w:p>
    <w:p/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float calcFuelRate(OBDData data, FuelRateConfig cfg)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0. Fuel cut detection (decelerazione senza carburante)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(cfg.detectZeroFuel &amp;&amp; isInFuelCut(data.rpm, data.tpsPercent, data.speedKmh))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0f;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1. PID 0x5E: consumo diretto in L/h (massima priorità)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(data.fuelRateLph &gt; 0)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lphToL100km(data.fuelRateLph, data.speedKmh);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2. Metodo iniettori (preferito per diesel)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(data.injectionTimeMs &gt; 0 &amp;&amp; data.rpm &gt; 0)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calcFuelRateInjector(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data.injectionTimeMs, data.rpm,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cfg.numCylinders, cfg.injectorCcPerMin,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cfg.fuelDensity, data.speedKmh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3. MAF (con fix unità g/s → kg/s)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(data.mafGps &gt; 0)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calcFuelRateMaf(data.mafGps, data.speedKmh);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4. MAP-based (fallback finale)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(data.mapKpa &gt; 0 &amp;&amp; data.rpm &gt; 0)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calcFuelRateMap(data.mapKpa, data.rpm,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cfg.engineDisplL, cfg.numCylinders, data.speedKmh);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-1f; // nessun dato disponibile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private float lphToL100km(float lph, int speedKmh)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(speedKmh &lt;= 0) return -1f;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lph / speedKmh * 100f;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pStyle w:val="Heading1"/>
      </w:pPr>
      <w:r>
        <w:t xml:space="preserve">6. Intervento 4 — Rilevamento fuel cut</w:t>
      </w:r>
    </w:p>
    <w:p>
      <w:r>
        <w:t xml:space="preserve">Quando il guidatore rilascia l'acceleratore in discesa con il motore sopra ~1000 RPM, la ECU interrompe l'iniezione (fuel cut). Rilevare questo stato evita di sporcare le medie di consumo con valori falsamente positivi.</w:t>
      </w:r>
    </w:p>
    <w:p/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/**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Rileva se il motore è in fuel cut (zero iniezione).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Condizioni: RPM &gt; soglia, farfalla chiusa, veicolo in movimento.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@param rpm         Giri motore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@param tpsPercent  Posizione farfalla % (TPS, PID 0x11)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@param speedKmh    Velocità km/h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private boolean isInFuelCut(float rpm, float tpsPercent, int speedKmh)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rpm &gt; 1000f          // motore acceso e sopra idle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&amp;&amp; tpsPercent &lt; 2.0f    // farfalla sostanzialmente chiusa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&amp;&amp; speedKmh &gt; 10;       // veicolo in movimento (non idle in folle)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Nel metodo chiamante, restituire 0f (non -1f)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0f = consumo zero noto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-1f = dato non disponibile (escluso dalle medie)</w:t>
      </w:r>
    </w:p>
    <w:p/>
    <w:p>
      <w:pPr>
        <w:pStyle w:val="Heading1"/>
      </w:pPr>
      <w:r>
        <w:t xml:space="preserve">7. Intervento 5 — AFR dinamico [opzionale]</w:t>
      </w:r>
    </w:p>
    <w:p>
      <w:r>
        <w:t xml:space="preserve">I diesel operano sempre con eccesso d'aria (lambda &gt; 1, AFR reale ~20–80). Se la ECU espone il PID 0x44 (Fuel/Air Commanded Equivalence Ratio), è possibile usare l'AFR reale anziché il valore stoichiometrico fisso di 14.5.</w:t>
      </w:r>
    </w:p>
    <w:p/>
    <w:p>
      <w:r>
        <w:t xml:space="preserve">Nota: su molti diesel questo PID non è affidabile. Verificare prima con lo strumento di diagnostica e abilitare solo se i valori sembrano coerenti.</w:t>
      </w:r>
    </w:p>
    <w:p/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private static final float AFR_DIESEL_STOICH = 14.5f;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/**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Restituisce l'AFR effettivo dal PID lambda (0x44).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Se il valore è fuori range plausibile per diesel, usa il valore stoichiometrico.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@param lambdaFromObd  λ da PID 0x44 (1.0 = stoichiometrico)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@return               AFR da usare nel calcolo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private float getEffectiveAfr(float lambdaFromObd)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Range plausibile per diesel: λ 1.0–10.0 (a regime λ ~1.5–4.0)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(lambdaFromObd &lt; 1.0f || lambdaFromObd &gt; 10.0f)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AFR_DIESEL_STOICH; // PID non affidabile, usa valore fisso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lambdaFromObd * AFR_DIESEL_STOICH;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pStyle w:val="Heading1"/>
      </w:pPr>
      <w:r>
        <w:t xml:space="preserve">8. Struttura dati OBDData suggerita</w:t>
      </w:r>
    </w:p>
    <w:p>
      <w:r>
        <w:t xml:space="preserve">Per supportare la gerarchia di fallback, la struttura OBDData deve contenere almeno i seguenti campi (aggiungere quelli mancanti):</w:t>
      </w:r>
    </w:p>
    <w:p/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OBDData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Già presenti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float mafGps;         // PID 0x10: MAF in g/s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int   speedKmh;       // PID 0x0D: velocità km/h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Da aggiungere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float fuelRateLph;    // PID 0x5E: fuel rate diretto L/h (0 se non disponibile)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float injectionTimeMs;// PID proprietario: pulse width iniettori in ms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float rpm;            // PID 0x0C: giri/min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float tpsPercent;     // PID 0x11: posizione farfalla %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float mapKpa;         // PID 0x0B: pressione collettore kPa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float lambdaObd;      // PID 0x44: equivalence ratio (0 se non disponibile)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pStyle w:val="Heading1"/>
      </w:pPr>
      <w:r>
        <w:t xml:space="preserve">9. Parametri specifici per il veicolo di test</w:t>
      </w:r>
    </w:p>
    <w:p>
      <w:r>
        <w:t xml:space="preserve">Valori da usare come default nella configurazione per il veicolo diesel 1.9L 4 cilindri:</w:t>
      </w:r>
    </w:p>
    <w:p/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Tipo carburante: Diesel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Cilindrata: 1.9 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Numero cilindri: 4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AFR stoichiometrico diesel: 14.5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Densità gasolio: 0.84 kg/L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Portata iniettori (stima): 250 cc/min — da calibrare con pieno di riferimento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Metodo preferito: INJECTOR_BASED con fallback a MAF_BASED</w:t>
      </w:r>
    </w:p>
    <w:p/>
    <w:p>
      <w:pPr>
        <w:spacing w:before="600"/>
        <w:jc w:val="center"/>
      </w:pPr>
      <w:r>
        <w:rPr>
          <w:i/>
          <w:iCs/>
          <w:color w:val="888888"/>
          <w:sz w:val="18"/>
          <w:szCs w:val="18"/>
        </w:rPr>
        <w:t xml:space="preserve">Documento generato automaticamente — da passare a GitHub Copilot per applicazione dei fix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2026-04-02T13:10:27.360Z</dcterms:created>
  <dcterms:modified xsi:type="dcterms:W3CDTF">2026-04-02T13:10:27.361Z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