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DF3" w:rsidRPr="0002764D" w:rsidRDefault="00282DF3" w:rsidP="00A23335">
      <w:pPr>
        <w:jc w:val="center"/>
        <w:rPr>
          <w:b/>
          <w:bCs/>
          <w:color w:val="FF0000"/>
          <w:sz w:val="30"/>
          <w:szCs w:val="30"/>
        </w:rPr>
      </w:pPr>
      <w:r w:rsidRPr="0002764D">
        <w:rPr>
          <w:rFonts w:cs="宋体" w:hint="eastAsia"/>
          <w:b/>
          <w:bCs/>
          <w:color w:val="FF0000"/>
          <w:sz w:val="30"/>
          <w:szCs w:val="30"/>
        </w:rPr>
        <w:t>大连理工大学电子信息与电气工程学部</w:t>
      </w:r>
    </w:p>
    <w:p w:rsidR="00282DF3" w:rsidRPr="0002764D" w:rsidRDefault="00282DF3" w:rsidP="00A23335">
      <w:pPr>
        <w:jc w:val="center"/>
        <w:rPr>
          <w:rFonts w:ascii="黑体" w:eastAsia="黑体"/>
          <w:b/>
          <w:bCs/>
          <w:color w:val="0000FF"/>
          <w:sz w:val="32"/>
          <w:szCs w:val="32"/>
        </w:rPr>
      </w:pPr>
      <w:r w:rsidRPr="0002764D">
        <w:rPr>
          <w:rFonts w:ascii="黑体" w:eastAsia="黑体" w:cs="黑体"/>
          <w:b/>
          <w:bCs/>
          <w:color w:val="0000FF"/>
          <w:sz w:val="32"/>
          <w:szCs w:val="32"/>
        </w:rPr>
        <w:t>201</w:t>
      </w:r>
      <w:r>
        <w:rPr>
          <w:rFonts w:ascii="黑体" w:eastAsia="黑体" w:cs="黑体"/>
          <w:b/>
          <w:bCs/>
          <w:color w:val="0000FF"/>
          <w:sz w:val="32"/>
          <w:szCs w:val="32"/>
        </w:rPr>
        <w:t>6</w:t>
      </w:r>
      <w:r w:rsidRPr="0002764D">
        <w:rPr>
          <w:rFonts w:ascii="黑体" w:eastAsia="黑体" w:cs="黑体" w:hint="eastAsia"/>
          <w:b/>
          <w:bCs/>
          <w:color w:val="0000FF"/>
          <w:sz w:val="32"/>
          <w:szCs w:val="32"/>
        </w:rPr>
        <w:t>年“蔚蓝梦想”</w:t>
      </w:r>
      <w:r>
        <w:rPr>
          <w:rFonts w:ascii="黑体" w:eastAsia="黑体" w:cs="黑体" w:hint="eastAsia"/>
          <w:b/>
          <w:bCs/>
          <w:color w:val="0000FF"/>
          <w:sz w:val="32"/>
          <w:szCs w:val="32"/>
        </w:rPr>
        <w:t>学术</w:t>
      </w:r>
      <w:r w:rsidRPr="0002764D">
        <w:rPr>
          <w:rFonts w:ascii="黑体" w:eastAsia="黑体" w:cs="黑体" w:hint="eastAsia"/>
          <w:b/>
          <w:bCs/>
          <w:color w:val="0000FF"/>
          <w:sz w:val="32"/>
          <w:szCs w:val="32"/>
        </w:rPr>
        <w:t>夏令营及</w:t>
      </w:r>
    </w:p>
    <w:p w:rsidR="00282DF3" w:rsidRPr="0002764D" w:rsidRDefault="00282DF3" w:rsidP="00A23335">
      <w:pPr>
        <w:jc w:val="center"/>
        <w:rPr>
          <w:rFonts w:ascii="黑体" w:eastAsia="黑体"/>
          <w:b/>
          <w:bCs/>
          <w:color w:val="0000FF"/>
          <w:sz w:val="32"/>
          <w:szCs w:val="32"/>
        </w:rPr>
      </w:pPr>
      <w:r w:rsidRPr="0002764D">
        <w:rPr>
          <w:rFonts w:ascii="黑体" w:eastAsia="黑体" w:cs="黑体"/>
          <w:b/>
          <w:bCs/>
          <w:color w:val="0000FF"/>
          <w:sz w:val="32"/>
          <w:szCs w:val="32"/>
        </w:rPr>
        <w:t>201</w:t>
      </w:r>
      <w:r>
        <w:rPr>
          <w:rFonts w:ascii="黑体" w:eastAsia="黑体" w:cs="黑体"/>
          <w:b/>
          <w:bCs/>
          <w:color w:val="0000FF"/>
          <w:sz w:val="32"/>
          <w:szCs w:val="32"/>
        </w:rPr>
        <w:t>7</w:t>
      </w:r>
      <w:r w:rsidRPr="0002764D">
        <w:rPr>
          <w:rFonts w:ascii="黑体" w:eastAsia="黑体" w:cs="黑体" w:hint="eastAsia"/>
          <w:b/>
          <w:bCs/>
          <w:color w:val="0000FF"/>
          <w:sz w:val="32"/>
          <w:szCs w:val="32"/>
        </w:rPr>
        <w:t>年硕士研究生自主选拔招生方案</w:t>
      </w:r>
    </w:p>
    <w:p w:rsidR="00282DF3" w:rsidRPr="00740DF5" w:rsidRDefault="00282DF3" w:rsidP="00A81A2C">
      <w:pPr>
        <w:spacing w:beforeLines="50" w:line="312" w:lineRule="auto"/>
        <w:ind w:firstLineChars="200" w:firstLine="31680"/>
      </w:pPr>
      <w:r>
        <w:rPr>
          <w:rFonts w:cs="宋体" w:hint="eastAsia"/>
        </w:rPr>
        <w:t>大连是我国东北地区美丽的海滨城市，面向烟波浩渺的太平洋，三面环海，风光旖旎，气候宜人。大连的海滨礁石错落，地貌奇特，蔚蓝色的天空、蔚蓝色的海洋，构成了海天一色优雅明丽的海滨风光。</w:t>
      </w:r>
    </w:p>
    <w:p w:rsidR="00282DF3" w:rsidRDefault="00282DF3" w:rsidP="00191831">
      <w:pPr>
        <w:spacing w:beforeLines="50" w:line="312" w:lineRule="auto"/>
        <w:ind w:firstLine="435"/>
        <w:rPr>
          <w:rFonts w:ascii="宋体"/>
        </w:rPr>
      </w:pPr>
      <w:r>
        <w:rPr>
          <w:rFonts w:ascii="宋体" w:hAnsi="宋体" w:cs="宋体" w:hint="eastAsia"/>
        </w:rPr>
        <w:t>位于大连市西部海滨的</w:t>
      </w:r>
      <w:r w:rsidRPr="00B70456">
        <w:rPr>
          <w:rFonts w:ascii="宋体" w:hAnsi="宋体" w:cs="宋体" w:hint="eastAsia"/>
        </w:rPr>
        <w:t>大连理工大学</w:t>
      </w:r>
      <w:r>
        <w:rPr>
          <w:rFonts w:ascii="宋体" w:hAnsi="宋体" w:cs="宋体" w:hint="eastAsia"/>
        </w:rPr>
        <w:t>，</w:t>
      </w:r>
      <w:r w:rsidRPr="00B70456">
        <w:rPr>
          <w:rFonts w:ascii="宋体" w:hAnsi="宋体" w:cs="宋体" w:hint="eastAsia"/>
        </w:rPr>
        <w:t>是教育部直属</w:t>
      </w:r>
      <w:r w:rsidRPr="006916F5">
        <w:rPr>
          <w:rFonts w:hAnsi="宋体" w:cs="宋体" w:hint="eastAsia"/>
        </w:rPr>
        <w:t>的</w:t>
      </w:r>
      <w:r w:rsidRPr="006916F5">
        <w:t>“985</w:t>
      </w:r>
      <w:r w:rsidRPr="006916F5">
        <w:rPr>
          <w:rFonts w:hAnsi="宋体" w:cs="宋体" w:hint="eastAsia"/>
        </w:rPr>
        <w:t>工程</w:t>
      </w:r>
      <w:r w:rsidRPr="006916F5">
        <w:t>”</w:t>
      </w:r>
      <w:r w:rsidRPr="006916F5">
        <w:rPr>
          <w:rFonts w:hAnsi="宋体" w:cs="宋体" w:hint="eastAsia"/>
        </w:rPr>
        <w:t>和</w:t>
      </w:r>
      <w:r w:rsidRPr="006916F5">
        <w:t>“211</w:t>
      </w:r>
      <w:r w:rsidRPr="006916F5">
        <w:rPr>
          <w:rFonts w:hAnsi="宋体" w:cs="宋体" w:hint="eastAsia"/>
        </w:rPr>
        <w:t>工程</w:t>
      </w:r>
      <w:r w:rsidRPr="006916F5">
        <w:t>”</w:t>
      </w:r>
      <w:r w:rsidRPr="006916F5">
        <w:rPr>
          <w:rFonts w:hAnsi="宋体" w:cs="宋体" w:hint="eastAsia"/>
        </w:rPr>
        <w:t>重点大学。电子信息与电气工程学部是由原电子与信息工程学院和原电气工程系合并，于</w:t>
      </w:r>
      <w:r w:rsidRPr="006916F5">
        <w:t>2009</w:t>
      </w:r>
      <w:r w:rsidRPr="006916F5">
        <w:rPr>
          <w:rFonts w:hAnsi="宋体" w:cs="宋体" w:hint="eastAsia"/>
        </w:rPr>
        <w:t>年</w:t>
      </w:r>
      <w:r w:rsidRPr="006916F5">
        <w:t>12</w:t>
      </w:r>
      <w:r w:rsidRPr="006916F5">
        <w:rPr>
          <w:rFonts w:hAnsi="宋体" w:cs="宋体" w:hint="eastAsia"/>
        </w:rPr>
        <w:t>月组建</w:t>
      </w:r>
      <w:r>
        <w:rPr>
          <w:rFonts w:ascii="宋体" w:hAnsi="宋体" w:cs="宋体" w:hint="eastAsia"/>
        </w:rPr>
        <w:t>的。学部下辖电气工程学院、信息与通信工程学院、控制科学与工程学院、计算机科学与技术学院和生物医学工程系，各院系均拥有一级学科博士学位授予权和硕士学位授予权。</w:t>
      </w:r>
      <w:r w:rsidRPr="00B70456">
        <w:rPr>
          <w:rFonts w:ascii="宋体" w:hAnsi="宋体" w:cs="宋体" w:hint="eastAsia"/>
        </w:rPr>
        <w:t>学部拥有丰富的学科资源、优秀的师资力量、先进的设备仪器，</w:t>
      </w:r>
      <w:r>
        <w:rPr>
          <w:rFonts w:ascii="宋体" w:hAnsi="宋体" w:cs="宋体" w:hint="eastAsia"/>
        </w:rPr>
        <w:t>是我国特别是东北地区</w:t>
      </w:r>
      <w:r w:rsidRPr="00B70456">
        <w:rPr>
          <w:rFonts w:ascii="宋体" w:hAnsi="宋体" w:cs="宋体" w:hint="eastAsia"/>
        </w:rPr>
        <w:t>高水平</w:t>
      </w:r>
      <w:r>
        <w:rPr>
          <w:rFonts w:ascii="宋体" w:hAnsi="宋体" w:cs="宋体" w:hint="eastAsia"/>
        </w:rPr>
        <w:t>的</w:t>
      </w:r>
      <w:r w:rsidRPr="00B70456">
        <w:rPr>
          <w:rFonts w:ascii="宋体" w:hAnsi="宋体" w:cs="宋体" w:hint="eastAsia"/>
        </w:rPr>
        <w:t>人才培养基地。</w:t>
      </w:r>
    </w:p>
    <w:p w:rsidR="00282DF3" w:rsidRDefault="00282DF3" w:rsidP="00191831">
      <w:pPr>
        <w:spacing w:beforeLines="50" w:line="312" w:lineRule="auto"/>
        <w:ind w:firstLine="435"/>
      </w:pPr>
      <w:r w:rsidRPr="00B70456">
        <w:rPr>
          <w:rFonts w:cs="宋体" w:hint="eastAsia"/>
        </w:rPr>
        <w:t>一流的大学需要一流的人才</w:t>
      </w:r>
      <w:r>
        <w:rPr>
          <w:rFonts w:cs="宋体" w:hint="eastAsia"/>
        </w:rPr>
        <w:t>，电子信息与电气工程</w:t>
      </w:r>
      <w:r w:rsidRPr="00B70456">
        <w:rPr>
          <w:rFonts w:cs="宋体" w:hint="eastAsia"/>
        </w:rPr>
        <w:t>学部愿为一批热爱科研、基础扎实、素质全面、德才兼备的应届本科毕业生搭建继续深造和发展的平台，提供良好的发展机遇。</w:t>
      </w:r>
      <w:r>
        <w:rPr>
          <w:rFonts w:cs="宋体" w:hint="eastAsia"/>
        </w:rPr>
        <w:t>为此，面向有志于攻读硕士学位的</w:t>
      </w:r>
      <w:r w:rsidRPr="006019A5">
        <w:rPr>
          <w:color w:val="000000"/>
        </w:rPr>
        <w:t>201</w:t>
      </w:r>
      <w:r>
        <w:rPr>
          <w:color w:val="000000"/>
        </w:rPr>
        <w:t>7</w:t>
      </w:r>
      <w:r>
        <w:rPr>
          <w:rFonts w:cs="宋体" w:hint="eastAsia"/>
        </w:rPr>
        <w:t>届应届本科毕业生，我学部将于</w:t>
      </w:r>
      <w:r>
        <w:t>2016</w:t>
      </w:r>
      <w:r w:rsidRPr="00A25C3A">
        <w:rPr>
          <w:rFonts w:cs="宋体" w:hint="eastAsia"/>
        </w:rPr>
        <w:t>年</w:t>
      </w:r>
      <w:r w:rsidRPr="00A25C3A">
        <w:t>7</w:t>
      </w:r>
      <w:r w:rsidRPr="00A25C3A">
        <w:rPr>
          <w:rFonts w:cs="宋体" w:hint="eastAsia"/>
        </w:rPr>
        <w:t>月</w:t>
      </w:r>
      <w:r>
        <w:t>18</w:t>
      </w:r>
      <w:r w:rsidRPr="00A25C3A">
        <w:rPr>
          <w:rFonts w:cs="宋体" w:hint="eastAsia"/>
        </w:rPr>
        <w:t>日</w:t>
      </w:r>
      <w:r>
        <w:t>-</w:t>
      </w:r>
      <w:r w:rsidRPr="00A25C3A">
        <w:t>7</w:t>
      </w:r>
      <w:r w:rsidRPr="00A25C3A">
        <w:rPr>
          <w:rFonts w:cs="宋体" w:hint="eastAsia"/>
        </w:rPr>
        <w:t>月</w:t>
      </w:r>
      <w:r>
        <w:t>20</w:t>
      </w:r>
      <w:r w:rsidRPr="00A25C3A">
        <w:rPr>
          <w:rFonts w:cs="宋体" w:hint="eastAsia"/>
        </w:rPr>
        <w:t>日在大连理工大学举行</w:t>
      </w:r>
      <w:r>
        <w:t>2016</w:t>
      </w:r>
      <w:r w:rsidRPr="00A25C3A">
        <w:rPr>
          <w:rFonts w:cs="宋体" w:hint="eastAsia"/>
        </w:rPr>
        <w:t>年“蔚蓝梦想”</w:t>
      </w:r>
      <w:r>
        <w:rPr>
          <w:rFonts w:cs="宋体" w:hint="eastAsia"/>
        </w:rPr>
        <w:t>学术</w:t>
      </w:r>
      <w:r w:rsidRPr="00A25C3A">
        <w:rPr>
          <w:rFonts w:cs="宋体" w:hint="eastAsia"/>
        </w:rPr>
        <w:t>夏令营。夏令营主</w:t>
      </w:r>
      <w:r>
        <w:rPr>
          <w:rFonts w:cs="宋体" w:hint="eastAsia"/>
        </w:rPr>
        <w:t>要内容包括：</w:t>
      </w:r>
    </w:p>
    <w:p w:rsidR="00282DF3" w:rsidRDefault="00282DF3" w:rsidP="00A46CFD">
      <w:pPr>
        <w:numPr>
          <w:ilvl w:val="0"/>
          <w:numId w:val="1"/>
        </w:numPr>
        <w:spacing w:line="312" w:lineRule="auto"/>
      </w:pPr>
      <w:r>
        <w:rPr>
          <w:rFonts w:cs="宋体" w:hint="eastAsia"/>
        </w:rPr>
        <w:t>电子信息与电气工程学部及所属各院系、各专业情况介绍；</w:t>
      </w:r>
    </w:p>
    <w:p w:rsidR="00282DF3" w:rsidRDefault="00282DF3" w:rsidP="00A46CFD">
      <w:pPr>
        <w:numPr>
          <w:ilvl w:val="0"/>
          <w:numId w:val="1"/>
        </w:numPr>
        <w:spacing w:line="312" w:lineRule="auto"/>
      </w:pPr>
      <w:r>
        <w:rPr>
          <w:rFonts w:cs="宋体" w:hint="eastAsia"/>
        </w:rPr>
        <w:t>电子信息与电气工程学部研究生招生、培养、奖学金及就业等情况介绍；</w:t>
      </w:r>
    </w:p>
    <w:p w:rsidR="00282DF3" w:rsidRDefault="00282DF3" w:rsidP="00A46CFD">
      <w:pPr>
        <w:numPr>
          <w:ilvl w:val="0"/>
          <w:numId w:val="1"/>
        </w:numPr>
        <w:spacing w:line="312" w:lineRule="auto"/>
      </w:pPr>
      <w:r>
        <w:rPr>
          <w:rFonts w:cs="宋体" w:hint="eastAsia"/>
        </w:rPr>
        <w:t>知名教授进行学术报告；</w:t>
      </w:r>
    </w:p>
    <w:p w:rsidR="00282DF3" w:rsidRDefault="00282DF3" w:rsidP="00A46CFD">
      <w:pPr>
        <w:numPr>
          <w:ilvl w:val="0"/>
          <w:numId w:val="1"/>
        </w:numPr>
        <w:spacing w:line="312" w:lineRule="auto"/>
      </w:pPr>
      <w:r>
        <w:rPr>
          <w:rFonts w:cs="宋体" w:hint="eastAsia"/>
        </w:rPr>
        <w:t>电子信息与电气工程学部各院系专业实验室参观；</w:t>
      </w:r>
    </w:p>
    <w:p w:rsidR="00282DF3" w:rsidRDefault="00282DF3" w:rsidP="00A46CFD">
      <w:pPr>
        <w:numPr>
          <w:ilvl w:val="0"/>
          <w:numId w:val="1"/>
        </w:numPr>
        <w:spacing w:line="312" w:lineRule="auto"/>
      </w:pPr>
      <w:r>
        <w:rPr>
          <w:rFonts w:cs="宋体" w:hint="eastAsia"/>
        </w:rPr>
        <w:t>营员与研究生导师见面、座谈；</w:t>
      </w:r>
    </w:p>
    <w:p w:rsidR="00282DF3" w:rsidRDefault="00282DF3" w:rsidP="00A46CFD">
      <w:pPr>
        <w:numPr>
          <w:ilvl w:val="0"/>
          <w:numId w:val="1"/>
        </w:numPr>
        <w:spacing w:line="312" w:lineRule="auto"/>
      </w:pPr>
      <w:r>
        <w:rPr>
          <w:rFonts w:cs="宋体" w:hint="eastAsia"/>
        </w:rPr>
        <w:t>营员与在读硕士、博士研究生见面、座谈；</w:t>
      </w:r>
    </w:p>
    <w:p w:rsidR="00282DF3" w:rsidRDefault="00282DF3" w:rsidP="00A46CFD">
      <w:pPr>
        <w:numPr>
          <w:ilvl w:val="0"/>
          <w:numId w:val="1"/>
        </w:numPr>
        <w:spacing w:line="312" w:lineRule="auto"/>
      </w:pPr>
      <w:r>
        <w:rPr>
          <w:rFonts w:cs="宋体" w:hint="eastAsia"/>
        </w:rPr>
        <w:t>研究生自主选拔招生面试与预录取；</w:t>
      </w:r>
    </w:p>
    <w:p w:rsidR="00282DF3" w:rsidRDefault="00282DF3" w:rsidP="00A46CFD">
      <w:pPr>
        <w:numPr>
          <w:ilvl w:val="0"/>
          <w:numId w:val="1"/>
        </w:numPr>
        <w:spacing w:line="312" w:lineRule="auto"/>
      </w:pPr>
      <w:r>
        <w:rPr>
          <w:rFonts w:cs="宋体" w:hint="eastAsia"/>
        </w:rPr>
        <w:t>参观活动。</w:t>
      </w:r>
    </w:p>
    <w:p w:rsidR="00282DF3" w:rsidRDefault="00282DF3" w:rsidP="00A81A2C">
      <w:pPr>
        <w:spacing w:beforeLines="50" w:line="312" w:lineRule="auto"/>
        <w:ind w:firstLineChars="200" w:firstLine="31680"/>
      </w:pPr>
      <w:r>
        <w:rPr>
          <w:rFonts w:cs="宋体" w:hint="eastAsia"/>
        </w:rPr>
        <w:t>大连理工大学电子信息与电气工程学部张开双臂，热烈欢迎有志学子踊跃报名，参加</w:t>
      </w:r>
      <w:r>
        <w:t>2016</w:t>
      </w:r>
      <w:r>
        <w:rPr>
          <w:rFonts w:cs="宋体" w:hint="eastAsia"/>
        </w:rPr>
        <w:t>年“蔚蓝梦想”学术夏令营，并准备着在大连理工大学完成自己的硕士或博士学位，实现自己的蔚蓝梦想。</w:t>
      </w:r>
    </w:p>
    <w:p w:rsidR="00282DF3" w:rsidRDefault="00282DF3" w:rsidP="00A81A2C">
      <w:pPr>
        <w:spacing w:beforeLines="50" w:line="312" w:lineRule="auto"/>
        <w:ind w:firstLineChars="200" w:firstLine="31680"/>
      </w:pPr>
      <w:r w:rsidRPr="00B70456">
        <w:rPr>
          <w:rFonts w:cs="宋体" w:hint="eastAsia"/>
        </w:rPr>
        <w:t>我学部研究生自主选拔招生方案</w:t>
      </w:r>
      <w:r>
        <w:rPr>
          <w:rFonts w:cs="宋体" w:hint="eastAsia"/>
        </w:rPr>
        <w:t>的</w:t>
      </w:r>
      <w:r w:rsidRPr="00B70456">
        <w:rPr>
          <w:rFonts w:cs="宋体" w:hint="eastAsia"/>
        </w:rPr>
        <w:t>原则</w:t>
      </w:r>
      <w:r>
        <w:rPr>
          <w:rFonts w:cs="宋体" w:hint="eastAsia"/>
        </w:rPr>
        <w:t>为</w:t>
      </w:r>
      <w:r w:rsidRPr="00B70456">
        <w:rPr>
          <w:rFonts w:cs="宋体" w:hint="eastAsia"/>
        </w:rPr>
        <w:t>：自愿申请，综合评价，择优录取。</w:t>
      </w:r>
    </w:p>
    <w:p w:rsidR="00282DF3" w:rsidRPr="00392B4E" w:rsidRDefault="00282DF3" w:rsidP="00A46CFD">
      <w:pPr>
        <w:spacing w:line="312" w:lineRule="auto"/>
        <w:rPr>
          <w:b/>
          <w:bCs/>
        </w:rPr>
      </w:pPr>
      <w:r w:rsidRPr="00392B4E">
        <w:rPr>
          <w:rFonts w:cs="宋体" w:hint="eastAsia"/>
          <w:b/>
          <w:bCs/>
        </w:rPr>
        <w:t>一、申请资格</w:t>
      </w:r>
    </w:p>
    <w:p w:rsidR="00282DF3" w:rsidRDefault="00282DF3" w:rsidP="00A46CFD">
      <w:pPr>
        <w:spacing w:line="312" w:lineRule="auto"/>
      </w:pPr>
      <w:r>
        <w:t>1</w:t>
      </w:r>
      <w:r>
        <w:rPr>
          <w:rFonts w:cs="宋体" w:hint="eastAsia"/>
        </w:rPr>
        <w:t>、全国高水平相关学科领域</w:t>
      </w:r>
      <w:r>
        <w:t>2017</w:t>
      </w:r>
      <w:r>
        <w:rPr>
          <w:rFonts w:cs="宋体" w:hint="eastAsia"/>
        </w:rPr>
        <w:t>届优秀应届本科毕业生；</w:t>
      </w:r>
    </w:p>
    <w:p w:rsidR="00282DF3" w:rsidRDefault="00282DF3" w:rsidP="00A46CFD">
      <w:pPr>
        <w:spacing w:line="312" w:lineRule="auto"/>
      </w:pPr>
      <w:r>
        <w:t>2</w:t>
      </w:r>
      <w:r>
        <w:rPr>
          <w:rFonts w:cs="宋体" w:hint="eastAsia"/>
        </w:rPr>
        <w:t>、政治思想品德合格、身体与心理健康；</w:t>
      </w:r>
    </w:p>
    <w:p w:rsidR="00282DF3" w:rsidRDefault="00282DF3" w:rsidP="00A46CFD">
      <w:pPr>
        <w:spacing w:line="312" w:lineRule="auto"/>
      </w:pPr>
      <w:r>
        <w:t>3</w:t>
      </w:r>
      <w:r>
        <w:rPr>
          <w:rFonts w:cs="宋体" w:hint="eastAsia"/>
        </w:rPr>
        <w:t>、大学本科期间学业及综合评价优秀</w:t>
      </w:r>
      <w:r w:rsidRPr="005B2316">
        <w:rPr>
          <w:rFonts w:cs="宋体" w:hint="eastAsia"/>
        </w:rPr>
        <w:t>（</w:t>
      </w:r>
      <w:r>
        <w:rPr>
          <w:rFonts w:cs="宋体" w:hint="eastAsia"/>
        </w:rPr>
        <w:t>须有证明材料）；</w:t>
      </w:r>
    </w:p>
    <w:p w:rsidR="00282DF3" w:rsidRPr="00392B4E" w:rsidRDefault="00282DF3" w:rsidP="00A46CFD">
      <w:pPr>
        <w:spacing w:line="312" w:lineRule="auto"/>
        <w:rPr>
          <w:b/>
          <w:bCs/>
        </w:rPr>
      </w:pPr>
      <w:r w:rsidRPr="00392B4E">
        <w:rPr>
          <w:rFonts w:cs="宋体" w:hint="eastAsia"/>
          <w:b/>
          <w:bCs/>
        </w:rPr>
        <w:t>二、申请办法</w:t>
      </w:r>
    </w:p>
    <w:p w:rsidR="00282DF3" w:rsidRPr="00A84C6F" w:rsidRDefault="00282DF3" w:rsidP="00A81A2C">
      <w:pPr>
        <w:spacing w:line="312" w:lineRule="auto"/>
        <w:ind w:firstLineChars="200" w:firstLine="31680"/>
      </w:pPr>
      <w:r w:rsidRPr="00A84C6F">
        <w:rPr>
          <w:rFonts w:cs="宋体" w:hint="eastAsia"/>
        </w:rPr>
        <w:t>申请者须在</w:t>
      </w:r>
      <w:r w:rsidRPr="00A84C6F">
        <w:rPr>
          <w:b/>
          <w:bCs/>
        </w:rPr>
        <w:t>201</w:t>
      </w:r>
      <w:r>
        <w:rPr>
          <w:b/>
          <w:bCs/>
        </w:rPr>
        <w:t>6</w:t>
      </w:r>
      <w:r w:rsidRPr="00A84C6F">
        <w:rPr>
          <w:rFonts w:cs="宋体" w:hint="eastAsia"/>
          <w:b/>
          <w:bCs/>
        </w:rPr>
        <w:t>年</w:t>
      </w:r>
      <w:r>
        <w:rPr>
          <w:b/>
          <w:bCs/>
        </w:rPr>
        <w:t>6</w:t>
      </w:r>
      <w:r w:rsidRPr="00A84C6F">
        <w:rPr>
          <w:rFonts w:cs="宋体" w:hint="eastAsia"/>
          <w:b/>
          <w:bCs/>
        </w:rPr>
        <w:t>月</w:t>
      </w:r>
      <w:r>
        <w:rPr>
          <w:b/>
          <w:bCs/>
        </w:rPr>
        <w:t>29</w:t>
      </w:r>
      <w:r w:rsidRPr="00A84C6F">
        <w:rPr>
          <w:rFonts w:cs="宋体" w:hint="eastAsia"/>
          <w:b/>
          <w:bCs/>
        </w:rPr>
        <w:t>日</w:t>
      </w:r>
      <w:r>
        <w:rPr>
          <w:b/>
          <w:bCs/>
        </w:rPr>
        <w:t>24</w:t>
      </w:r>
      <w:r w:rsidRPr="00A84C6F">
        <w:rPr>
          <w:b/>
          <w:bCs/>
        </w:rPr>
        <w:t>:00</w:t>
      </w:r>
      <w:r w:rsidRPr="00A84C6F">
        <w:rPr>
          <w:rFonts w:cs="宋体" w:hint="eastAsia"/>
          <w:b/>
          <w:bCs/>
        </w:rPr>
        <w:t>时之前</w:t>
      </w:r>
      <w:r w:rsidRPr="00A84C6F">
        <w:rPr>
          <w:rFonts w:cs="宋体" w:hint="eastAsia"/>
        </w:rPr>
        <w:t>登录“大连理工大学学术夏令营报名系统”（</w:t>
      </w:r>
      <w:r w:rsidRPr="00937DF0">
        <w:t>http://202.118.65.123:8080/xlygl/xlygl/default.aspx</w:t>
      </w:r>
      <w:r w:rsidRPr="00A84C6F">
        <w:rPr>
          <w:rFonts w:cs="宋体" w:hint="eastAsia"/>
        </w:rPr>
        <w:t>），点击“申请报名编号”，利用本人身份证号码获得申请编号。再点击“填写报名信息”，利用获得的申请编号和本人身份证登录后填写本人信息。</w:t>
      </w:r>
    </w:p>
    <w:p w:rsidR="00282DF3" w:rsidRDefault="00282DF3" w:rsidP="00A81A2C">
      <w:pPr>
        <w:spacing w:line="312" w:lineRule="auto"/>
        <w:ind w:firstLineChars="200" w:firstLine="31680"/>
      </w:pPr>
      <w:r w:rsidRPr="00A84C6F">
        <w:rPr>
          <w:rFonts w:cs="宋体" w:hint="eastAsia"/>
        </w:rPr>
        <w:t>请申请者上传信息时注意：（</w:t>
      </w:r>
      <w:r w:rsidRPr="00A84C6F">
        <w:t>1</w:t>
      </w:r>
      <w:r w:rsidRPr="00A84C6F">
        <w:rPr>
          <w:rFonts w:cs="宋体" w:hint="eastAsia"/>
        </w:rPr>
        <w:t>）须将待上传的证明材料以扫描或拍照的方式生成</w:t>
      </w:r>
      <w:r w:rsidRPr="00A84C6F">
        <w:t>PDF</w:t>
      </w:r>
      <w:r w:rsidRPr="00A84C6F">
        <w:rPr>
          <w:rFonts w:cs="宋体" w:hint="eastAsia"/>
        </w:rPr>
        <w:t>文件或图像文件，命名方式为“申请编号</w:t>
      </w:r>
      <w:r w:rsidRPr="00A84C6F">
        <w:t>+</w:t>
      </w:r>
      <w:r w:rsidRPr="00A84C6F">
        <w:rPr>
          <w:rFonts w:cs="宋体" w:hint="eastAsia"/>
        </w:rPr>
        <w:t>考生姓名</w:t>
      </w:r>
      <w:r w:rsidRPr="00A84C6F">
        <w:t>+</w:t>
      </w:r>
      <w:r w:rsidRPr="00A84C6F">
        <w:rPr>
          <w:rFonts w:cs="宋体" w:hint="eastAsia"/>
        </w:rPr>
        <w:t>材料名称”。（</w:t>
      </w:r>
      <w:r w:rsidRPr="00A84C6F">
        <w:t>2</w:t>
      </w:r>
      <w:r w:rsidRPr="00A84C6F">
        <w:rPr>
          <w:rFonts w:cs="宋体" w:hint="eastAsia"/>
        </w:rPr>
        <w:t>）申请者须将待上传文件整理至一个文件内，并将文件夹压缩成</w:t>
      </w:r>
      <w:r w:rsidRPr="00A84C6F">
        <w:t>.rar</w:t>
      </w:r>
      <w:r w:rsidRPr="00A84C6F">
        <w:rPr>
          <w:rFonts w:cs="宋体" w:hint="eastAsia"/>
        </w:rPr>
        <w:t>格式的压缩文件后再上传，命名方式为“申请编号</w:t>
      </w:r>
      <w:r w:rsidRPr="00A84C6F">
        <w:t>+</w:t>
      </w:r>
      <w:r w:rsidRPr="00A84C6F">
        <w:rPr>
          <w:rFonts w:cs="宋体" w:hint="eastAsia"/>
        </w:rPr>
        <w:t>考生姓名”。（</w:t>
      </w:r>
      <w:r w:rsidRPr="00A84C6F">
        <w:t>3</w:t>
      </w:r>
      <w:r w:rsidRPr="00A84C6F">
        <w:rPr>
          <w:rFonts w:cs="宋体" w:hint="eastAsia"/>
        </w:rPr>
        <w:t>）上传附件大小不得超过</w:t>
      </w:r>
      <w:r w:rsidRPr="00A84C6F">
        <w:t>30MB</w:t>
      </w:r>
      <w:r w:rsidRPr="00A84C6F">
        <w:rPr>
          <w:rFonts w:cs="宋体" w:hint="eastAsia"/>
        </w:rPr>
        <w:t>。</w:t>
      </w:r>
    </w:p>
    <w:p w:rsidR="00282DF3" w:rsidRPr="00A84C6F" w:rsidRDefault="00282DF3" w:rsidP="00A81A2C">
      <w:pPr>
        <w:spacing w:line="312" w:lineRule="auto"/>
        <w:ind w:firstLineChars="200" w:firstLine="31680"/>
      </w:pPr>
      <w:r>
        <w:rPr>
          <w:rFonts w:cs="宋体" w:hint="eastAsia"/>
        </w:rPr>
        <w:t>所需材料：</w:t>
      </w:r>
      <w:r w:rsidRPr="00E167AB">
        <w:rPr>
          <w:rFonts w:cs="宋体" w:hint="eastAsia"/>
          <w:color w:val="FF0000"/>
        </w:rPr>
        <w:t>盖章的学习成绩总表、专业排名证明扫描件、其他证明材料（如已发表论文、各类获奖或资格证书、</w:t>
      </w:r>
      <w:r w:rsidRPr="00E167AB">
        <w:rPr>
          <w:color w:val="FF0000"/>
        </w:rPr>
        <w:t>CET</w:t>
      </w:r>
      <w:r w:rsidRPr="00E167AB">
        <w:rPr>
          <w:rFonts w:cs="宋体" w:hint="eastAsia"/>
          <w:color w:val="FF0000"/>
        </w:rPr>
        <w:t>四、六级等）扫描件。</w:t>
      </w:r>
    </w:p>
    <w:p w:rsidR="00282DF3" w:rsidRPr="00A84C6F" w:rsidRDefault="00282DF3" w:rsidP="00A46CFD">
      <w:pPr>
        <w:spacing w:line="312" w:lineRule="auto"/>
        <w:rPr>
          <w:b/>
          <w:bCs/>
        </w:rPr>
      </w:pPr>
      <w:r w:rsidRPr="00A84C6F">
        <w:rPr>
          <w:rFonts w:cs="宋体" w:hint="eastAsia"/>
          <w:b/>
          <w:bCs/>
        </w:rPr>
        <w:t>三、资格审查</w:t>
      </w:r>
    </w:p>
    <w:p w:rsidR="00282DF3" w:rsidRPr="00A84C6F" w:rsidRDefault="00282DF3" w:rsidP="00A81A2C">
      <w:pPr>
        <w:spacing w:line="312" w:lineRule="auto"/>
        <w:ind w:firstLineChars="200" w:firstLine="31680"/>
      </w:pPr>
      <w:r w:rsidRPr="00A84C6F">
        <w:rPr>
          <w:rFonts w:cs="宋体" w:hint="eastAsia"/>
        </w:rPr>
        <w:t>电子信息与电气工程学部根据申请者提供的申请材料，以申请者的教育背景、学业水平、科研能力、综合素质等为主要评价依据，由专家及相关人员对申请者材料进行资格审查。</w:t>
      </w:r>
      <w:r w:rsidRPr="00A84C6F">
        <w:t>7</w:t>
      </w:r>
      <w:r w:rsidRPr="00A84C6F">
        <w:rPr>
          <w:rFonts w:cs="宋体" w:hint="eastAsia"/>
        </w:rPr>
        <w:t>月</w:t>
      </w:r>
      <w:r>
        <w:t>2</w:t>
      </w:r>
      <w:r w:rsidRPr="00A84C6F">
        <w:rPr>
          <w:rFonts w:cs="宋体" w:hint="eastAsia"/>
        </w:rPr>
        <w:t>日登录“大连理工大学学术夏令营报名系统”查看院系审核</w:t>
      </w:r>
      <w:r>
        <w:rPr>
          <w:rFonts w:cs="宋体" w:hint="eastAsia"/>
        </w:rPr>
        <w:t>结果，审核</w:t>
      </w:r>
      <w:r w:rsidRPr="00A84C6F">
        <w:rPr>
          <w:rFonts w:cs="宋体" w:hint="eastAsia"/>
        </w:rPr>
        <w:t>通过者即可入围</w:t>
      </w:r>
      <w:r>
        <w:rPr>
          <w:rFonts w:cs="宋体" w:hint="eastAsia"/>
        </w:rPr>
        <w:t>，具体日程查看“</w:t>
      </w:r>
      <w:r w:rsidRPr="00A84C6F">
        <w:rPr>
          <w:rFonts w:cs="宋体" w:hint="eastAsia"/>
        </w:rPr>
        <w:t>大连理工大学学术夏令营报名系统</w:t>
      </w:r>
      <w:r>
        <w:rPr>
          <w:rFonts w:cs="宋体" w:hint="eastAsia"/>
        </w:rPr>
        <w:t>”中的活动安排</w:t>
      </w:r>
      <w:r w:rsidRPr="00A84C6F">
        <w:rPr>
          <w:rFonts w:cs="宋体" w:hint="eastAsia"/>
        </w:rPr>
        <w:t>。</w:t>
      </w:r>
    </w:p>
    <w:p w:rsidR="00282DF3" w:rsidRPr="006A02D4" w:rsidRDefault="00282DF3" w:rsidP="00A46CFD">
      <w:pPr>
        <w:spacing w:line="312" w:lineRule="auto"/>
        <w:rPr>
          <w:b/>
          <w:bCs/>
        </w:rPr>
      </w:pPr>
      <w:r w:rsidRPr="00A84C6F">
        <w:rPr>
          <w:rFonts w:cs="宋体" w:hint="eastAsia"/>
          <w:b/>
          <w:bCs/>
        </w:rPr>
        <w:t>四、面试考核</w:t>
      </w:r>
    </w:p>
    <w:p w:rsidR="00282DF3" w:rsidRDefault="00282DF3" w:rsidP="00A81A2C">
      <w:pPr>
        <w:spacing w:line="312" w:lineRule="auto"/>
        <w:ind w:firstLineChars="200" w:firstLine="31680"/>
      </w:pPr>
      <w:r w:rsidRPr="006A02D4">
        <w:rPr>
          <w:rFonts w:cs="宋体" w:hint="eastAsia"/>
        </w:rPr>
        <w:t>通过资格审查入围者，将被邀请参加我学部组织的“暑期夏令营”的活动。夏令营将定于</w:t>
      </w:r>
      <w:r w:rsidRPr="0089797E">
        <w:rPr>
          <w:b/>
          <w:bCs/>
        </w:rPr>
        <w:t>201</w:t>
      </w:r>
      <w:r>
        <w:rPr>
          <w:b/>
          <w:bCs/>
        </w:rPr>
        <w:t>6</w:t>
      </w:r>
      <w:r w:rsidRPr="0089797E">
        <w:rPr>
          <w:rFonts w:cs="宋体" w:hint="eastAsia"/>
          <w:b/>
          <w:bCs/>
        </w:rPr>
        <w:t>年</w:t>
      </w:r>
      <w:r>
        <w:rPr>
          <w:b/>
          <w:bCs/>
        </w:rPr>
        <w:t>7</w:t>
      </w:r>
      <w:r w:rsidRPr="0089797E">
        <w:rPr>
          <w:rFonts w:cs="宋体" w:hint="eastAsia"/>
          <w:b/>
          <w:bCs/>
        </w:rPr>
        <w:t>月</w:t>
      </w:r>
      <w:r>
        <w:rPr>
          <w:b/>
          <w:bCs/>
        </w:rPr>
        <w:t>18</w:t>
      </w:r>
      <w:r w:rsidRPr="0089797E">
        <w:rPr>
          <w:rFonts w:cs="宋体" w:hint="eastAsia"/>
          <w:b/>
          <w:bCs/>
        </w:rPr>
        <w:t>日至</w:t>
      </w:r>
      <w:r w:rsidRPr="0089797E">
        <w:rPr>
          <w:b/>
          <w:bCs/>
        </w:rPr>
        <w:t>201</w:t>
      </w:r>
      <w:r>
        <w:rPr>
          <w:b/>
          <w:bCs/>
        </w:rPr>
        <w:t>6</w:t>
      </w:r>
      <w:r w:rsidRPr="0089797E">
        <w:rPr>
          <w:rFonts w:cs="宋体" w:hint="eastAsia"/>
          <w:b/>
          <w:bCs/>
        </w:rPr>
        <w:t>年</w:t>
      </w:r>
      <w:r w:rsidRPr="0089797E">
        <w:rPr>
          <w:b/>
          <w:bCs/>
        </w:rPr>
        <w:t>7</w:t>
      </w:r>
      <w:r w:rsidRPr="0089797E">
        <w:rPr>
          <w:rFonts w:cs="宋体" w:hint="eastAsia"/>
          <w:b/>
          <w:bCs/>
        </w:rPr>
        <w:t>月</w:t>
      </w:r>
      <w:r>
        <w:rPr>
          <w:b/>
          <w:bCs/>
        </w:rPr>
        <w:t>20</w:t>
      </w:r>
      <w:r w:rsidRPr="0089797E">
        <w:rPr>
          <w:rFonts w:cs="宋体" w:hint="eastAsia"/>
          <w:b/>
          <w:bCs/>
        </w:rPr>
        <w:t>日</w:t>
      </w:r>
      <w:r w:rsidRPr="006A02D4">
        <w:rPr>
          <w:rFonts w:cs="宋体" w:hint="eastAsia"/>
        </w:rPr>
        <w:t>期间举行，活动时间为期</w:t>
      </w:r>
      <w:r>
        <w:t>3</w:t>
      </w:r>
      <w:r w:rsidRPr="006A02D4">
        <w:rPr>
          <w:rFonts w:cs="宋体" w:hint="eastAsia"/>
        </w:rPr>
        <w:t>天，学部</w:t>
      </w:r>
      <w:r>
        <w:rPr>
          <w:rFonts w:cs="宋体" w:hint="eastAsia"/>
        </w:rPr>
        <w:t>各专业将对营员的学业和综合能力进行面试考核，</w:t>
      </w:r>
      <w:r w:rsidRPr="000F076C">
        <w:rPr>
          <w:rFonts w:cs="宋体" w:hint="eastAsia"/>
        </w:rPr>
        <w:t>面试考核分为</w:t>
      </w:r>
      <w:r w:rsidRPr="000F076C">
        <w:t>A/B</w:t>
      </w:r>
      <w:r>
        <w:rPr>
          <w:rFonts w:cs="宋体" w:hint="eastAsia"/>
        </w:rPr>
        <w:t>档，考核通过的营员可获得当年研究生招考奖励</w:t>
      </w:r>
      <w:r w:rsidRPr="006A02D4">
        <w:rPr>
          <w:rFonts w:cs="宋体" w:hint="eastAsia"/>
        </w:rPr>
        <w:t>。可享受自主选拔招生优惠政策的考生名单将于</w:t>
      </w:r>
      <w:r>
        <w:t>2016</w:t>
      </w:r>
      <w:r>
        <w:rPr>
          <w:rFonts w:cs="宋体" w:hint="eastAsia"/>
        </w:rPr>
        <w:t>年</w:t>
      </w:r>
      <w:r>
        <w:t>7</w:t>
      </w:r>
      <w:r>
        <w:rPr>
          <w:rFonts w:cs="宋体" w:hint="eastAsia"/>
        </w:rPr>
        <w:t>月末</w:t>
      </w:r>
      <w:r w:rsidRPr="006A02D4">
        <w:rPr>
          <w:rFonts w:cs="宋体" w:hint="eastAsia"/>
        </w:rPr>
        <w:t>在我学部网站公示</w:t>
      </w:r>
      <w:r>
        <w:rPr>
          <w:rFonts w:cs="宋体" w:hint="eastAsia"/>
        </w:rPr>
        <w:t>：</w:t>
      </w:r>
      <w:r w:rsidRPr="006A02D4">
        <w:rPr>
          <w:rFonts w:cs="宋体" w:hint="eastAsia"/>
        </w:rPr>
        <w:t>（</w:t>
      </w:r>
      <w:hyperlink r:id="rId7" w:history="1">
        <w:r w:rsidRPr="006A02D4">
          <w:rPr>
            <w:rStyle w:val="Hyperlink"/>
            <w:color w:val="auto"/>
          </w:rPr>
          <w:t>http://ee.dlut.edu.cn/</w:t>
        </w:r>
      </w:hyperlink>
      <w:r w:rsidRPr="006A02D4">
        <w:rPr>
          <w:rFonts w:cs="宋体" w:hint="eastAsia"/>
        </w:rPr>
        <w:t>）</w:t>
      </w:r>
      <w:r>
        <w:rPr>
          <w:rFonts w:cs="宋体" w:hint="eastAsia"/>
        </w:rPr>
        <w:t>，请注意查看。</w:t>
      </w:r>
    </w:p>
    <w:p w:rsidR="00282DF3" w:rsidRDefault="00282DF3" w:rsidP="003A73D5">
      <w:pPr>
        <w:spacing w:line="312" w:lineRule="auto"/>
        <w:rPr>
          <w:b/>
          <w:bCs/>
        </w:rPr>
      </w:pPr>
      <w:r w:rsidRPr="003E6DD0">
        <w:rPr>
          <w:rFonts w:cs="宋体" w:hint="eastAsia"/>
          <w:b/>
          <w:bCs/>
        </w:rPr>
        <w:t>五、</w:t>
      </w:r>
      <w:r>
        <w:rPr>
          <w:rFonts w:cs="宋体" w:hint="eastAsia"/>
          <w:b/>
          <w:bCs/>
        </w:rPr>
        <w:t>奖励政策</w:t>
      </w:r>
    </w:p>
    <w:p w:rsidR="00282DF3" w:rsidRPr="005F35B1" w:rsidRDefault="00282DF3" w:rsidP="00A81A2C">
      <w:pPr>
        <w:spacing w:line="312" w:lineRule="auto"/>
        <w:ind w:firstLineChars="200" w:firstLine="31680"/>
      </w:pPr>
      <w:r>
        <w:rPr>
          <w:rFonts w:cs="宋体" w:hint="eastAsia"/>
        </w:rPr>
        <w:t>学部</w:t>
      </w:r>
      <w:r w:rsidRPr="0087186B">
        <w:rPr>
          <w:rFonts w:cs="宋体" w:hint="eastAsia"/>
        </w:rPr>
        <w:t>坚持“公</w:t>
      </w:r>
      <w:r>
        <w:rPr>
          <w:rFonts w:cs="宋体" w:hint="eastAsia"/>
        </w:rPr>
        <w:t>平、公正、公开”的原则，对夏令营营员进行面试选拔考核，面试考核</w:t>
      </w:r>
      <w:r w:rsidRPr="0087186B">
        <w:rPr>
          <w:rFonts w:cs="宋体" w:hint="eastAsia"/>
        </w:rPr>
        <w:t>为</w:t>
      </w:r>
      <w:r>
        <w:t>A</w:t>
      </w:r>
      <w:r>
        <w:rPr>
          <w:rFonts w:cs="宋体" w:hint="eastAsia"/>
        </w:rPr>
        <w:t>、</w:t>
      </w:r>
      <w:r w:rsidRPr="0087186B">
        <w:t>B</w:t>
      </w:r>
      <w:r>
        <w:rPr>
          <w:rFonts w:cs="宋体" w:hint="eastAsia"/>
        </w:rPr>
        <w:t>档</w:t>
      </w:r>
      <w:r w:rsidRPr="0087186B">
        <w:rPr>
          <w:rFonts w:cs="宋体" w:hint="eastAsia"/>
        </w:rPr>
        <w:t>的营员可享受当年研究生招考政策。</w:t>
      </w:r>
    </w:p>
    <w:p w:rsidR="00282DF3" w:rsidRDefault="00282DF3" w:rsidP="00A81A2C">
      <w:pPr>
        <w:spacing w:line="312" w:lineRule="auto"/>
        <w:ind w:firstLineChars="200" w:firstLine="31680"/>
      </w:pPr>
      <w:r>
        <w:t>1</w:t>
      </w:r>
      <w:r>
        <w:rPr>
          <w:rFonts w:cs="宋体" w:hint="eastAsia"/>
        </w:rPr>
        <w:t>、</w:t>
      </w:r>
      <w:r>
        <w:t>A</w:t>
      </w:r>
      <w:r>
        <w:rPr>
          <w:rFonts w:cs="宋体" w:hint="eastAsia"/>
        </w:rPr>
        <w:t>档：</w:t>
      </w:r>
      <w:r>
        <w:rPr>
          <w:rStyle w:val="Strong"/>
          <w:rFonts w:ascii="华文仿宋" w:eastAsia="华文仿宋" w:hAnsi="华文仿宋" w:cs="华文仿宋" w:hint="eastAsia"/>
          <w:sz w:val="19"/>
          <w:szCs w:val="19"/>
        </w:rPr>
        <w:t>面试考核</w:t>
      </w:r>
      <w:r>
        <w:rPr>
          <w:rStyle w:val="Strong"/>
          <w:rFonts w:ascii="华文仿宋" w:eastAsia="华文仿宋" w:hAnsi="华文仿宋" w:cs="华文仿宋"/>
          <w:sz w:val="19"/>
          <w:szCs w:val="19"/>
        </w:rPr>
        <w:t>A</w:t>
      </w:r>
      <w:r>
        <w:rPr>
          <w:rStyle w:val="Strong"/>
          <w:rFonts w:ascii="华文仿宋" w:eastAsia="华文仿宋" w:hAnsi="华文仿宋" w:cs="华文仿宋" w:hint="eastAsia"/>
          <w:sz w:val="19"/>
          <w:szCs w:val="19"/>
        </w:rPr>
        <w:t>档（</w:t>
      </w:r>
      <w:r>
        <w:rPr>
          <w:rStyle w:val="Strong"/>
          <w:rFonts w:ascii="华文仿宋" w:eastAsia="华文仿宋" w:hAnsi="华文仿宋" w:cs="华文仿宋"/>
          <w:sz w:val="19"/>
          <w:szCs w:val="19"/>
        </w:rPr>
        <w:t>A</w:t>
      </w:r>
      <w:r>
        <w:rPr>
          <w:rStyle w:val="Strong"/>
          <w:rFonts w:ascii="华文仿宋" w:eastAsia="华文仿宋" w:hAnsi="华文仿宋" w:cs="华文仿宋" w:hint="eastAsia"/>
          <w:sz w:val="19"/>
          <w:szCs w:val="19"/>
        </w:rPr>
        <w:t>档比例不高于夏令营营员数的</w:t>
      </w:r>
      <w:r>
        <w:rPr>
          <w:rStyle w:val="Strong"/>
          <w:rFonts w:ascii="华文仿宋" w:eastAsia="华文仿宋" w:hAnsi="华文仿宋" w:cs="华文仿宋"/>
          <w:sz w:val="19"/>
          <w:szCs w:val="19"/>
        </w:rPr>
        <w:t>30%</w:t>
      </w:r>
      <w:r>
        <w:rPr>
          <w:rStyle w:val="Strong"/>
          <w:rFonts w:ascii="华文仿宋" w:eastAsia="华文仿宋" w:hAnsi="华文仿宋" w:cs="华文仿宋" w:hint="eastAsia"/>
          <w:sz w:val="19"/>
          <w:szCs w:val="19"/>
        </w:rPr>
        <w:t>）</w:t>
      </w:r>
    </w:p>
    <w:p w:rsidR="00282DF3" w:rsidRDefault="00282DF3" w:rsidP="00A81A2C">
      <w:pPr>
        <w:spacing w:line="312" w:lineRule="auto"/>
        <w:ind w:firstLineChars="200" w:firstLine="31680"/>
      </w:pPr>
      <w:r>
        <w:rPr>
          <w:rFonts w:cs="宋体" w:hint="eastAsia"/>
        </w:rPr>
        <w:t>（</w:t>
      </w:r>
      <w:r>
        <w:t>1</w:t>
      </w:r>
      <w:r>
        <w:rPr>
          <w:rFonts w:cs="宋体" w:hint="eastAsia"/>
        </w:rPr>
        <w:t>）</w:t>
      </w:r>
      <w:r w:rsidRPr="0087186B">
        <w:rPr>
          <w:rFonts w:cs="宋体" w:hint="eastAsia"/>
        </w:rPr>
        <w:t>考核为</w:t>
      </w:r>
      <w:r w:rsidRPr="0087186B">
        <w:t>A</w:t>
      </w:r>
      <w:r w:rsidRPr="0087186B">
        <w:rPr>
          <w:rFonts w:cs="宋体" w:hint="eastAsia"/>
        </w:rPr>
        <w:t>档的营员若获得所</w:t>
      </w:r>
      <w:r>
        <w:rPr>
          <w:rFonts w:cs="宋体" w:hint="eastAsia"/>
        </w:rPr>
        <w:t>在学校推荐免试研究生资格，并在“全国推荐免试服务系统”中报考我学部相关专业</w:t>
      </w:r>
      <w:r w:rsidRPr="0087186B">
        <w:rPr>
          <w:rFonts w:cs="宋体" w:hint="eastAsia"/>
        </w:rPr>
        <w:t>，可直接录取为我校</w:t>
      </w:r>
      <w:r w:rsidRPr="0087186B">
        <w:t>201</w:t>
      </w:r>
      <w:r>
        <w:t>7</w:t>
      </w:r>
      <w:r>
        <w:rPr>
          <w:rFonts w:cs="宋体" w:hint="eastAsia"/>
        </w:rPr>
        <w:t>年硕士研究生</w:t>
      </w:r>
      <w:r>
        <w:t>,</w:t>
      </w:r>
      <w:r>
        <w:rPr>
          <w:rFonts w:cs="宋体" w:hint="eastAsia"/>
        </w:rPr>
        <w:t>学术夏令营考核成绩可认定为推免复试成绩</w:t>
      </w:r>
      <w:r w:rsidRPr="00601B84">
        <w:rPr>
          <w:rFonts w:cs="宋体" w:hint="eastAsia"/>
        </w:rPr>
        <w:t>；</w:t>
      </w:r>
    </w:p>
    <w:p w:rsidR="00282DF3" w:rsidRPr="00296FD6" w:rsidRDefault="00282DF3" w:rsidP="00A81A2C">
      <w:pPr>
        <w:spacing w:line="312" w:lineRule="auto"/>
        <w:ind w:firstLineChars="200" w:firstLine="31680"/>
      </w:pPr>
      <w:r>
        <w:rPr>
          <w:rFonts w:cs="宋体" w:hint="eastAsia"/>
        </w:rPr>
        <w:t>（</w:t>
      </w:r>
      <w:r>
        <w:t>2</w:t>
      </w:r>
      <w:r>
        <w:rPr>
          <w:rFonts w:cs="宋体" w:hint="eastAsia"/>
        </w:rPr>
        <w:t>）</w:t>
      </w:r>
      <w:r w:rsidRPr="0087186B">
        <w:rPr>
          <w:rFonts w:cs="宋体" w:hint="eastAsia"/>
        </w:rPr>
        <w:t>考核为</w:t>
      </w:r>
      <w:r w:rsidRPr="0087186B">
        <w:t>A</w:t>
      </w:r>
      <w:r w:rsidRPr="0087186B">
        <w:rPr>
          <w:rFonts w:cs="宋体" w:hint="eastAsia"/>
        </w:rPr>
        <w:t>档的营员若未获得所在学校推荐免试研究生资格，一</w:t>
      </w:r>
      <w:r>
        <w:rPr>
          <w:rFonts w:cs="宋体" w:hint="eastAsia"/>
        </w:rPr>
        <w:t>志愿报考我学部相关专业</w:t>
      </w:r>
      <w:r w:rsidRPr="0087186B">
        <w:rPr>
          <w:rFonts w:cs="宋体" w:hint="eastAsia"/>
        </w:rPr>
        <w:t>时，初试分数达到我校公布的</w:t>
      </w:r>
      <w:r w:rsidRPr="0087186B">
        <w:t>201</w:t>
      </w:r>
      <w:r>
        <w:t>7</w:t>
      </w:r>
      <w:r w:rsidRPr="0087186B">
        <w:rPr>
          <w:rFonts w:cs="宋体" w:hint="eastAsia"/>
        </w:rPr>
        <w:t>年各学科门类复试基本分数线（含总分、单科分数）标准，可直接进入录取环节。</w:t>
      </w:r>
    </w:p>
    <w:p w:rsidR="00282DF3" w:rsidRDefault="00282DF3" w:rsidP="00A81A2C">
      <w:pPr>
        <w:spacing w:line="312" w:lineRule="auto"/>
        <w:ind w:firstLineChars="200" w:firstLine="31680"/>
      </w:pPr>
      <w:r>
        <w:t>2</w:t>
      </w:r>
      <w:r>
        <w:rPr>
          <w:rFonts w:cs="宋体" w:hint="eastAsia"/>
        </w:rPr>
        <w:t>、</w:t>
      </w:r>
      <w:r w:rsidRPr="00601B84">
        <w:t>B</w:t>
      </w:r>
      <w:r w:rsidRPr="00601B84">
        <w:rPr>
          <w:rFonts w:cs="宋体" w:hint="eastAsia"/>
        </w:rPr>
        <w:t>档：</w:t>
      </w:r>
      <w:r>
        <w:rPr>
          <w:rStyle w:val="Strong"/>
          <w:rFonts w:ascii="华文仿宋" w:eastAsia="华文仿宋" w:hAnsi="华文仿宋" w:cs="华文仿宋" w:hint="eastAsia"/>
          <w:sz w:val="19"/>
          <w:szCs w:val="19"/>
        </w:rPr>
        <w:t>面试考核</w:t>
      </w:r>
      <w:r>
        <w:rPr>
          <w:rStyle w:val="Strong"/>
          <w:rFonts w:ascii="华文仿宋" w:eastAsia="华文仿宋" w:hAnsi="华文仿宋" w:cs="华文仿宋"/>
          <w:sz w:val="19"/>
          <w:szCs w:val="19"/>
        </w:rPr>
        <w:t>B</w:t>
      </w:r>
      <w:r>
        <w:rPr>
          <w:rStyle w:val="Strong"/>
          <w:rFonts w:ascii="华文仿宋" w:eastAsia="华文仿宋" w:hAnsi="华文仿宋" w:cs="华文仿宋" w:hint="eastAsia"/>
          <w:sz w:val="19"/>
          <w:szCs w:val="19"/>
        </w:rPr>
        <w:t>档（</w:t>
      </w:r>
      <w:r>
        <w:rPr>
          <w:rStyle w:val="Strong"/>
          <w:rFonts w:ascii="华文仿宋" w:eastAsia="华文仿宋" w:hAnsi="华文仿宋" w:cs="华文仿宋"/>
          <w:sz w:val="19"/>
          <w:szCs w:val="19"/>
        </w:rPr>
        <w:t>B</w:t>
      </w:r>
      <w:r>
        <w:rPr>
          <w:rStyle w:val="Strong"/>
          <w:rFonts w:ascii="华文仿宋" w:eastAsia="华文仿宋" w:hAnsi="华文仿宋" w:cs="华文仿宋" w:hint="eastAsia"/>
          <w:sz w:val="19"/>
          <w:szCs w:val="19"/>
        </w:rPr>
        <w:t>档比例不高于夏令营营员数的</w:t>
      </w:r>
      <w:r>
        <w:rPr>
          <w:rStyle w:val="Strong"/>
          <w:rFonts w:ascii="华文仿宋" w:eastAsia="华文仿宋" w:hAnsi="华文仿宋" w:cs="华文仿宋"/>
          <w:sz w:val="19"/>
          <w:szCs w:val="19"/>
        </w:rPr>
        <w:t>40%</w:t>
      </w:r>
      <w:r>
        <w:rPr>
          <w:rStyle w:val="Strong"/>
          <w:rFonts w:ascii="华文仿宋" w:eastAsia="华文仿宋" w:hAnsi="华文仿宋" w:cs="华文仿宋" w:hint="eastAsia"/>
          <w:sz w:val="19"/>
          <w:szCs w:val="19"/>
        </w:rPr>
        <w:t>）</w:t>
      </w:r>
    </w:p>
    <w:p w:rsidR="00282DF3" w:rsidRDefault="00282DF3" w:rsidP="00A81A2C">
      <w:pPr>
        <w:spacing w:line="312" w:lineRule="auto"/>
        <w:ind w:firstLineChars="200" w:firstLine="31680"/>
      </w:pPr>
      <w:r>
        <w:rPr>
          <w:rFonts w:cs="宋体" w:hint="eastAsia"/>
        </w:rPr>
        <w:t>（</w:t>
      </w:r>
      <w:r>
        <w:t>1</w:t>
      </w:r>
      <w:r>
        <w:rPr>
          <w:rFonts w:cs="宋体" w:hint="eastAsia"/>
        </w:rPr>
        <w:t>）</w:t>
      </w:r>
      <w:r w:rsidRPr="0087186B">
        <w:rPr>
          <w:rFonts w:cs="宋体" w:hint="eastAsia"/>
        </w:rPr>
        <w:t>考核为</w:t>
      </w:r>
      <w:r w:rsidRPr="0087186B">
        <w:t>B</w:t>
      </w:r>
      <w:r w:rsidRPr="0087186B">
        <w:rPr>
          <w:rFonts w:cs="宋体" w:hint="eastAsia"/>
        </w:rPr>
        <w:t>档的营员若获得所在学校推荐免试研究生资格，并在“全国推荐免试服务系统”中报考我</w:t>
      </w:r>
      <w:r>
        <w:rPr>
          <w:rFonts w:cs="宋体" w:hint="eastAsia"/>
        </w:rPr>
        <w:t>学部</w:t>
      </w:r>
      <w:r w:rsidRPr="0087186B">
        <w:rPr>
          <w:rFonts w:cs="宋体" w:hint="eastAsia"/>
        </w:rPr>
        <w:t>相关专业，可直接录取为我校</w:t>
      </w:r>
      <w:r w:rsidRPr="0087186B">
        <w:t>201</w:t>
      </w:r>
      <w:r>
        <w:t>7</w:t>
      </w:r>
      <w:r>
        <w:rPr>
          <w:rFonts w:cs="宋体" w:hint="eastAsia"/>
        </w:rPr>
        <w:t>年硕士研究生，学术夏令营考核成绩可认定为推免复试成绩。</w:t>
      </w:r>
    </w:p>
    <w:p w:rsidR="00282DF3" w:rsidRDefault="00282DF3" w:rsidP="00A81A2C">
      <w:pPr>
        <w:spacing w:line="312" w:lineRule="auto"/>
        <w:ind w:firstLineChars="200" w:firstLine="31680"/>
      </w:pPr>
      <w:r>
        <w:rPr>
          <w:rFonts w:cs="宋体" w:hint="eastAsia"/>
        </w:rPr>
        <w:t>（</w:t>
      </w:r>
      <w:r>
        <w:t>2</w:t>
      </w:r>
      <w:r>
        <w:rPr>
          <w:rFonts w:cs="宋体" w:hint="eastAsia"/>
        </w:rPr>
        <w:t>）</w:t>
      </w:r>
      <w:r w:rsidRPr="0087186B">
        <w:rPr>
          <w:rFonts w:cs="宋体" w:hint="eastAsia"/>
        </w:rPr>
        <w:t>考核为</w:t>
      </w:r>
      <w:r w:rsidRPr="0087186B">
        <w:t>B</w:t>
      </w:r>
      <w:r>
        <w:rPr>
          <w:rFonts w:cs="宋体" w:hint="eastAsia"/>
        </w:rPr>
        <w:t>档的营员若未获得所在学校推荐免试研究生资格，一志愿报考我学部相关专业</w:t>
      </w:r>
      <w:r w:rsidRPr="0087186B">
        <w:rPr>
          <w:rFonts w:cs="宋体" w:hint="eastAsia"/>
        </w:rPr>
        <w:t>时，初试分数达到我校公布的</w:t>
      </w:r>
      <w:r w:rsidRPr="0087186B">
        <w:t>201</w:t>
      </w:r>
      <w:r>
        <w:t>7</w:t>
      </w:r>
      <w:r w:rsidRPr="0087186B">
        <w:rPr>
          <w:rFonts w:cs="宋体" w:hint="eastAsia"/>
        </w:rPr>
        <w:t>年各学科门类复试基本分数线（含总分、单科分数）标准，直接进入我校复试，表现优异者优先录取</w:t>
      </w:r>
      <w:r w:rsidRPr="00296FD6">
        <w:rPr>
          <w:rFonts w:cs="宋体" w:hint="eastAsia"/>
        </w:rPr>
        <w:t>。</w:t>
      </w:r>
    </w:p>
    <w:p w:rsidR="00282DF3" w:rsidRPr="00601B84" w:rsidRDefault="00282DF3" w:rsidP="00601B84">
      <w:pPr>
        <w:spacing w:line="312" w:lineRule="auto"/>
        <w:rPr>
          <w:b/>
          <w:bCs/>
        </w:rPr>
      </w:pPr>
      <w:r w:rsidRPr="00601B84">
        <w:rPr>
          <w:rFonts w:cs="宋体" w:hint="eastAsia"/>
          <w:b/>
          <w:bCs/>
        </w:rPr>
        <w:t>六、电子信息与电气工程学部硕士研究生招生专业</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3"/>
        <w:gridCol w:w="1968"/>
        <w:gridCol w:w="2307"/>
        <w:gridCol w:w="2166"/>
      </w:tblGrid>
      <w:tr w:rsidR="00282DF3" w:rsidRPr="00C57243">
        <w:trPr>
          <w:trHeight w:val="455"/>
          <w:jc w:val="center"/>
        </w:trPr>
        <w:tc>
          <w:tcPr>
            <w:tcW w:w="2223" w:type="dxa"/>
            <w:vMerge w:val="restart"/>
            <w:tcBorders>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院系</w:t>
            </w:r>
          </w:p>
        </w:tc>
        <w:tc>
          <w:tcPr>
            <w:tcW w:w="4275" w:type="dxa"/>
            <w:gridSpan w:val="2"/>
            <w:tcBorders>
              <w:left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C57243">
              <w:rPr>
                <w:rFonts w:cs="宋体" w:hint="eastAsia"/>
                <w:kern w:val="0"/>
                <w:sz w:val="20"/>
                <w:szCs w:val="20"/>
              </w:rPr>
              <w:t>工学硕士</w:t>
            </w:r>
            <w:r>
              <w:rPr>
                <w:rFonts w:cs="宋体" w:hint="eastAsia"/>
                <w:kern w:val="0"/>
                <w:sz w:val="20"/>
                <w:szCs w:val="20"/>
              </w:rPr>
              <w:t>学位授权点</w:t>
            </w:r>
          </w:p>
        </w:tc>
        <w:tc>
          <w:tcPr>
            <w:tcW w:w="2166" w:type="dxa"/>
            <w:vMerge w:val="restart"/>
            <w:tcBorders>
              <w:left w:val="double" w:sz="4" w:space="0" w:color="auto"/>
            </w:tcBorders>
            <w:vAlign w:val="center"/>
          </w:tcPr>
          <w:p w:rsidR="00282DF3" w:rsidRPr="00C57243" w:rsidRDefault="00282DF3" w:rsidP="00C57243">
            <w:pPr>
              <w:spacing w:line="300" w:lineRule="auto"/>
              <w:jc w:val="center"/>
              <w:rPr>
                <w:kern w:val="0"/>
                <w:sz w:val="20"/>
                <w:szCs w:val="20"/>
              </w:rPr>
            </w:pPr>
            <w:r w:rsidRPr="00C57243">
              <w:rPr>
                <w:rFonts w:cs="宋体" w:hint="eastAsia"/>
                <w:kern w:val="0"/>
                <w:sz w:val="20"/>
                <w:szCs w:val="20"/>
              </w:rPr>
              <w:t>工程硕士</w:t>
            </w:r>
            <w:r>
              <w:rPr>
                <w:rFonts w:cs="宋体" w:hint="eastAsia"/>
                <w:kern w:val="0"/>
                <w:sz w:val="20"/>
                <w:szCs w:val="20"/>
              </w:rPr>
              <w:t>学位授权点</w:t>
            </w:r>
          </w:p>
        </w:tc>
      </w:tr>
      <w:tr w:rsidR="00282DF3" w:rsidRPr="00C57243">
        <w:trPr>
          <w:trHeight w:val="488"/>
          <w:jc w:val="center"/>
        </w:trPr>
        <w:tc>
          <w:tcPr>
            <w:tcW w:w="2223" w:type="dxa"/>
            <w:vMerge/>
            <w:tcBorders>
              <w:bottom w:val="double" w:sz="4" w:space="0" w:color="auto"/>
              <w:right w:val="double" w:sz="4" w:space="0" w:color="auto"/>
            </w:tcBorders>
            <w:vAlign w:val="center"/>
          </w:tcPr>
          <w:p w:rsidR="00282DF3" w:rsidRPr="00C57243" w:rsidRDefault="00282DF3" w:rsidP="00C57243">
            <w:pPr>
              <w:spacing w:line="300" w:lineRule="auto"/>
              <w:jc w:val="center"/>
              <w:rPr>
                <w:kern w:val="0"/>
                <w:sz w:val="20"/>
                <w:szCs w:val="20"/>
              </w:rPr>
            </w:pPr>
          </w:p>
        </w:tc>
        <w:tc>
          <w:tcPr>
            <w:tcW w:w="1968" w:type="dxa"/>
            <w:tcBorders>
              <w:left w:val="double" w:sz="4" w:space="0" w:color="auto"/>
              <w:bottom w:val="double" w:sz="4" w:space="0" w:color="auto"/>
            </w:tcBorders>
            <w:vAlign w:val="center"/>
          </w:tcPr>
          <w:p w:rsidR="00282DF3" w:rsidRPr="00601B84" w:rsidRDefault="00282DF3" w:rsidP="00C57243">
            <w:pPr>
              <w:spacing w:line="300" w:lineRule="auto"/>
              <w:jc w:val="center"/>
              <w:rPr>
                <w:kern w:val="0"/>
                <w:sz w:val="20"/>
                <w:szCs w:val="20"/>
              </w:rPr>
            </w:pPr>
            <w:r w:rsidRPr="00C57243">
              <w:rPr>
                <w:rFonts w:cs="宋体" w:hint="eastAsia"/>
                <w:kern w:val="0"/>
                <w:sz w:val="20"/>
                <w:szCs w:val="20"/>
              </w:rPr>
              <w:t>一级学科</w:t>
            </w:r>
          </w:p>
        </w:tc>
        <w:tc>
          <w:tcPr>
            <w:tcW w:w="2307" w:type="dxa"/>
            <w:tcBorders>
              <w:bottom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Pr>
                <w:rFonts w:cs="宋体" w:hint="eastAsia"/>
                <w:kern w:val="0"/>
                <w:sz w:val="20"/>
                <w:szCs w:val="20"/>
              </w:rPr>
              <w:t>所含</w:t>
            </w:r>
            <w:r w:rsidRPr="00C57243">
              <w:rPr>
                <w:rFonts w:cs="宋体" w:hint="eastAsia"/>
                <w:kern w:val="0"/>
                <w:sz w:val="20"/>
                <w:szCs w:val="20"/>
              </w:rPr>
              <w:t>二级学科</w:t>
            </w:r>
          </w:p>
        </w:tc>
        <w:tc>
          <w:tcPr>
            <w:tcW w:w="2166" w:type="dxa"/>
            <w:vMerge/>
            <w:tcBorders>
              <w:left w:val="double" w:sz="4" w:space="0" w:color="auto"/>
              <w:bottom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469"/>
          <w:jc w:val="center"/>
        </w:trPr>
        <w:tc>
          <w:tcPr>
            <w:tcW w:w="2223" w:type="dxa"/>
            <w:vMerge w:val="restart"/>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电气工程学院</w:t>
            </w:r>
          </w:p>
        </w:tc>
        <w:tc>
          <w:tcPr>
            <w:tcW w:w="1968" w:type="dxa"/>
            <w:vMerge w:val="restart"/>
            <w:tcBorders>
              <w:top w:val="double" w:sz="4" w:space="0" w:color="auto"/>
              <w:left w:val="double" w:sz="4" w:space="0" w:color="auto"/>
            </w:tcBorders>
            <w:vAlign w:val="center"/>
          </w:tcPr>
          <w:p w:rsidR="00282DF3" w:rsidRPr="00601B84" w:rsidRDefault="00282DF3" w:rsidP="00C57243">
            <w:pPr>
              <w:spacing w:line="300" w:lineRule="auto"/>
              <w:jc w:val="center"/>
              <w:rPr>
                <w:kern w:val="0"/>
                <w:sz w:val="20"/>
                <w:szCs w:val="20"/>
              </w:rPr>
            </w:pPr>
            <w:r w:rsidRPr="00C57243">
              <w:rPr>
                <w:rFonts w:cs="宋体" w:hint="eastAsia"/>
                <w:kern w:val="0"/>
                <w:sz w:val="20"/>
                <w:szCs w:val="20"/>
              </w:rPr>
              <w:t>电气工程</w:t>
            </w:r>
          </w:p>
        </w:tc>
        <w:tc>
          <w:tcPr>
            <w:tcW w:w="2307" w:type="dxa"/>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电机与电器</w:t>
            </w:r>
          </w:p>
        </w:tc>
        <w:tc>
          <w:tcPr>
            <w:tcW w:w="2166" w:type="dxa"/>
            <w:vMerge w:val="restart"/>
            <w:tcBorders>
              <w:top w:val="double" w:sz="4" w:space="0" w:color="auto"/>
              <w:left w:val="double" w:sz="4" w:space="0" w:color="auto"/>
            </w:tcBorders>
            <w:vAlign w:val="center"/>
          </w:tcPr>
          <w:p w:rsidR="00282DF3" w:rsidRPr="00C57243" w:rsidRDefault="00282DF3" w:rsidP="00C57243">
            <w:pPr>
              <w:spacing w:line="300" w:lineRule="auto"/>
              <w:jc w:val="center"/>
              <w:rPr>
                <w:kern w:val="0"/>
                <w:sz w:val="20"/>
                <w:szCs w:val="20"/>
              </w:rPr>
            </w:pPr>
            <w:r w:rsidRPr="00C57243">
              <w:rPr>
                <w:rFonts w:cs="宋体" w:hint="eastAsia"/>
                <w:kern w:val="0"/>
                <w:sz w:val="20"/>
                <w:szCs w:val="20"/>
              </w:rPr>
              <w:t>电气工程</w:t>
            </w:r>
          </w:p>
        </w:tc>
      </w:tr>
      <w:tr w:rsidR="00282DF3" w:rsidRPr="00C57243">
        <w:trPr>
          <w:trHeight w:val="469"/>
          <w:jc w:val="center"/>
        </w:trPr>
        <w:tc>
          <w:tcPr>
            <w:tcW w:w="2223" w:type="dxa"/>
            <w:vMerge/>
            <w:tcBorders>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tcBorders>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电工理论与新技术</w:t>
            </w:r>
          </w:p>
        </w:tc>
        <w:tc>
          <w:tcPr>
            <w:tcW w:w="2166" w:type="dxa"/>
            <w:vMerge/>
            <w:tcBorders>
              <w:left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469"/>
          <w:jc w:val="center"/>
        </w:trPr>
        <w:tc>
          <w:tcPr>
            <w:tcW w:w="2223" w:type="dxa"/>
            <w:vMerge/>
            <w:tcBorders>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tcBorders>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电力系统及自动化</w:t>
            </w:r>
          </w:p>
        </w:tc>
        <w:tc>
          <w:tcPr>
            <w:tcW w:w="2166" w:type="dxa"/>
            <w:vMerge/>
            <w:tcBorders>
              <w:left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469"/>
          <w:jc w:val="center"/>
        </w:trPr>
        <w:tc>
          <w:tcPr>
            <w:tcW w:w="2223" w:type="dxa"/>
            <w:vMerge/>
            <w:tcBorders>
              <w:bottom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bottom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tcBorders>
              <w:bottom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color w:val="000000"/>
                <w:kern w:val="0"/>
                <w:sz w:val="20"/>
                <w:szCs w:val="20"/>
              </w:rPr>
              <w:t>电力电子与电力传动</w:t>
            </w:r>
          </w:p>
        </w:tc>
        <w:tc>
          <w:tcPr>
            <w:tcW w:w="2166" w:type="dxa"/>
            <w:vMerge/>
            <w:tcBorders>
              <w:left w:val="double" w:sz="4" w:space="0" w:color="auto"/>
              <w:bottom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469"/>
          <w:jc w:val="center"/>
        </w:trPr>
        <w:tc>
          <w:tcPr>
            <w:tcW w:w="2223" w:type="dxa"/>
            <w:vMerge w:val="restart"/>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信息与通信工程学院</w:t>
            </w:r>
          </w:p>
        </w:tc>
        <w:tc>
          <w:tcPr>
            <w:tcW w:w="1968" w:type="dxa"/>
            <w:vMerge w:val="restart"/>
            <w:tcBorders>
              <w:top w:val="double" w:sz="4" w:space="0" w:color="auto"/>
              <w:lef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信息与通信工程</w:t>
            </w:r>
          </w:p>
        </w:tc>
        <w:tc>
          <w:tcPr>
            <w:tcW w:w="2307" w:type="dxa"/>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通信与信息系统</w:t>
            </w:r>
          </w:p>
        </w:tc>
        <w:tc>
          <w:tcPr>
            <w:tcW w:w="2166" w:type="dxa"/>
            <w:vMerge w:val="restart"/>
            <w:tcBorders>
              <w:top w:val="double" w:sz="4" w:space="0" w:color="auto"/>
              <w:left w:val="double" w:sz="4" w:space="0" w:color="auto"/>
            </w:tcBorders>
            <w:vAlign w:val="center"/>
          </w:tcPr>
          <w:p w:rsidR="00282DF3" w:rsidRPr="00C57243" w:rsidRDefault="00282DF3" w:rsidP="00C57243">
            <w:pPr>
              <w:spacing w:line="300" w:lineRule="auto"/>
              <w:jc w:val="center"/>
              <w:rPr>
                <w:kern w:val="0"/>
                <w:sz w:val="20"/>
                <w:szCs w:val="20"/>
              </w:rPr>
            </w:pPr>
            <w:r>
              <w:rPr>
                <w:rFonts w:cs="宋体" w:hint="eastAsia"/>
                <w:kern w:val="0"/>
                <w:sz w:val="20"/>
                <w:szCs w:val="20"/>
              </w:rPr>
              <w:t>电子与通信工程</w:t>
            </w:r>
          </w:p>
        </w:tc>
      </w:tr>
      <w:tr w:rsidR="00282DF3" w:rsidRPr="00C57243">
        <w:trPr>
          <w:trHeight w:val="469"/>
          <w:jc w:val="center"/>
        </w:trPr>
        <w:tc>
          <w:tcPr>
            <w:tcW w:w="2223" w:type="dxa"/>
            <w:vMerge/>
            <w:tcBorders>
              <w:bottom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bottom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tcBorders>
              <w:bottom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信号与信息处理</w:t>
            </w:r>
          </w:p>
        </w:tc>
        <w:tc>
          <w:tcPr>
            <w:tcW w:w="2166" w:type="dxa"/>
            <w:vMerge/>
            <w:tcBorders>
              <w:left w:val="double" w:sz="4" w:space="0" w:color="auto"/>
              <w:bottom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469"/>
          <w:jc w:val="center"/>
        </w:trPr>
        <w:tc>
          <w:tcPr>
            <w:tcW w:w="2223" w:type="dxa"/>
            <w:vMerge w:val="restart"/>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控制科学与工程学院</w:t>
            </w:r>
          </w:p>
        </w:tc>
        <w:tc>
          <w:tcPr>
            <w:tcW w:w="1968" w:type="dxa"/>
            <w:vMerge w:val="restart"/>
            <w:tcBorders>
              <w:top w:val="double" w:sz="4" w:space="0" w:color="auto"/>
              <w:lef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控制科学与工程</w:t>
            </w:r>
          </w:p>
        </w:tc>
        <w:tc>
          <w:tcPr>
            <w:tcW w:w="2307" w:type="dxa"/>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控制理论与控制工程</w:t>
            </w:r>
          </w:p>
        </w:tc>
        <w:tc>
          <w:tcPr>
            <w:tcW w:w="2166" w:type="dxa"/>
            <w:vMerge w:val="restart"/>
            <w:tcBorders>
              <w:top w:val="double" w:sz="4" w:space="0" w:color="auto"/>
              <w:left w:val="double" w:sz="4" w:space="0" w:color="auto"/>
            </w:tcBorders>
            <w:vAlign w:val="center"/>
          </w:tcPr>
          <w:p w:rsidR="00282DF3" w:rsidRPr="00C57243" w:rsidRDefault="00282DF3" w:rsidP="00C57243">
            <w:pPr>
              <w:spacing w:line="300" w:lineRule="auto"/>
              <w:jc w:val="center"/>
              <w:rPr>
                <w:kern w:val="0"/>
                <w:sz w:val="20"/>
                <w:szCs w:val="20"/>
              </w:rPr>
            </w:pPr>
            <w:r>
              <w:rPr>
                <w:rFonts w:cs="宋体" w:hint="eastAsia"/>
                <w:kern w:val="0"/>
                <w:sz w:val="20"/>
                <w:szCs w:val="20"/>
              </w:rPr>
              <w:t>控制工程</w:t>
            </w:r>
          </w:p>
        </w:tc>
      </w:tr>
      <w:tr w:rsidR="00282DF3" w:rsidRPr="00C57243">
        <w:trPr>
          <w:trHeight w:val="469"/>
          <w:jc w:val="center"/>
        </w:trPr>
        <w:tc>
          <w:tcPr>
            <w:tcW w:w="2223" w:type="dxa"/>
            <w:vMerge/>
            <w:tcBorders>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tcBorders>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测试计量技术及仪器</w:t>
            </w:r>
          </w:p>
        </w:tc>
        <w:tc>
          <w:tcPr>
            <w:tcW w:w="2166" w:type="dxa"/>
            <w:vMerge/>
            <w:tcBorders>
              <w:left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390"/>
          <w:jc w:val="center"/>
        </w:trPr>
        <w:tc>
          <w:tcPr>
            <w:tcW w:w="2223" w:type="dxa"/>
            <w:vMerge/>
            <w:tcBorders>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vMerge w:val="restart"/>
            <w:tcBorders>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检测技术与自动化装置</w:t>
            </w:r>
          </w:p>
        </w:tc>
        <w:tc>
          <w:tcPr>
            <w:tcW w:w="2166" w:type="dxa"/>
            <w:vMerge/>
            <w:tcBorders>
              <w:left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390"/>
          <w:jc w:val="center"/>
        </w:trPr>
        <w:tc>
          <w:tcPr>
            <w:tcW w:w="2223" w:type="dxa"/>
            <w:vMerge/>
            <w:tcBorders>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vMerge/>
            <w:tcBorders>
              <w:right w:val="double" w:sz="4" w:space="0" w:color="auto"/>
            </w:tcBorders>
            <w:vAlign w:val="center"/>
          </w:tcPr>
          <w:p w:rsidR="00282DF3" w:rsidRPr="00601B84" w:rsidRDefault="00282DF3" w:rsidP="00C57243">
            <w:pPr>
              <w:spacing w:line="300" w:lineRule="auto"/>
              <w:jc w:val="center"/>
              <w:rPr>
                <w:kern w:val="0"/>
                <w:sz w:val="20"/>
                <w:szCs w:val="20"/>
              </w:rPr>
            </w:pPr>
          </w:p>
        </w:tc>
        <w:tc>
          <w:tcPr>
            <w:tcW w:w="2166" w:type="dxa"/>
            <w:vMerge w:val="restart"/>
            <w:tcBorders>
              <w:left w:val="double" w:sz="4" w:space="0" w:color="auto"/>
            </w:tcBorders>
            <w:vAlign w:val="center"/>
          </w:tcPr>
          <w:p w:rsidR="00282DF3" w:rsidRPr="00C57243" w:rsidRDefault="00282DF3" w:rsidP="00C57243">
            <w:pPr>
              <w:spacing w:line="300" w:lineRule="auto"/>
              <w:jc w:val="center"/>
              <w:rPr>
                <w:kern w:val="0"/>
                <w:sz w:val="20"/>
                <w:szCs w:val="20"/>
              </w:rPr>
            </w:pPr>
            <w:r>
              <w:rPr>
                <w:rFonts w:cs="宋体" w:hint="eastAsia"/>
                <w:kern w:val="0"/>
                <w:sz w:val="20"/>
                <w:szCs w:val="20"/>
              </w:rPr>
              <w:t>仪器仪表工程</w:t>
            </w:r>
          </w:p>
        </w:tc>
      </w:tr>
      <w:tr w:rsidR="00282DF3" w:rsidRPr="00C57243">
        <w:trPr>
          <w:trHeight w:val="469"/>
          <w:jc w:val="center"/>
        </w:trPr>
        <w:tc>
          <w:tcPr>
            <w:tcW w:w="2223" w:type="dxa"/>
            <w:vMerge/>
            <w:tcBorders>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tcBorders>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模式识别与智能系统</w:t>
            </w:r>
          </w:p>
        </w:tc>
        <w:tc>
          <w:tcPr>
            <w:tcW w:w="2166" w:type="dxa"/>
            <w:vMerge/>
            <w:tcBorders>
              <w:left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469"/>
          <w:jc w:val="center"/>
        </w:trPr>
        <w:tc>
          <w:tcPr>
            <w:tcW w:w="2223" w:type="dxa"/>
            <w:vMerge/>
            <w:tcBorders>
              <w:bottom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bottom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tcBorders>
              <w:bottom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系统工程</w:t>
            </w:r>
          </w:p>
        </w:tc>
        <w:tc>
          <w:tcPr>
            <w:tcW w:w="2166" w:type="dxa"/>
            <w:vMerge/>
            <w:tcBorders>
              <w:left w:val="double" w:sz="4" w:space="0" w:color="auto"/>
              <w:bottom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469"/>
          <w:jc w:val="center"/>
        </w:trPr>
        <w:tc>
          <w:tcPr>
            <w:tcW w:w="2223" w:type="dxa"/>
            <w:vMerge w:val="restart"/>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计算机科学与工程学院</w:t>
            </w:r>
          </w:p>
        </w:tc>
        <w:tc>
          <w:tcPr>
            <w:tcW w:w="1968" w:type="dxa"/>
            <w:vMerge w:val="restart"/>
            <w:tcBorders>
              <w:top w:val="double" w:sz="4" w:space="0" w:color="auto"/>
              <w:lef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计算机科学与工程</w:t>
            </w:r>
          </w:p>
        </w:tc>
        <w:tc>
          <w:tcPr>
            <w:tcW w:w="2307" w:type="dxa"/>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计算机软件与理论</w:t>
            </w:r>
          </w:p>
        </w:tc>
        <w:tc>
          <w:tcPr>
            <w:tcW w:w="2166" w:type="dxa"/>
            <w:vMerge w:val="restart"/>
            <w:tcBorders>
              <w:top w:val="double" w:sz="4" w:space="0" w:color="auto"/>
              <w:left w:val="double" w:sz="4" w:space="0" w:color="auto"/>
            </w:tcBorders>
            <w:vAlign w:val="center"/>
          </w:tcPr>
          <w:p w:rsidR="00282DF3" w:rsidRPr="00C57243" w:rsidRDefault="00282DF3" w:rsidP="00C57243">
            <w:pPr>
              <w:spacing w:line="300" w:lineRule="auto"/>
              <w:jc w:val="center"/>
              <w:rPr>
                <w:kern w:val="0"/>
                <w:sz w:val="20"/>
                <w:szCs w:val="20"/>
              </w:rPr>
            </w:pPr>
            <w:r>
              <w:rPr>
                <w:rFonts w:cs="宋体" w:hint="eastAsia"/>
                <w:kern w:val="0"/>
                <w:sz w:val="20"/>
                <w:szCs w:val="20"/>
              </w:rPr>
              <w:t>计算机技术</w:t>
            </w:r>
          </w:p>
        </w:tc>
      </w:tr>
      <w:tr w:rsidR="00282DF3" w:rsidRPr="00C57243">
        <w:trPr>
          <w:trHeight w:val="469"/>
          <w:jc w:val="center"/>
        </w:trPr>
        <w:tc>
          <w:tcPr>
            <w:tcW w:w="2223" w:type="dxa"/>
            <w:vMerge/>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tcBorders>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计算机应用技术</w:t>
            </w:r>
          </w:p>
        </w:tc>
        <w:tc>
          <w:tcPr>
            <w:tcW w:w="2166" w:type="dxa"/>
            <w:vMerge/>
            <w:tcBorders>
              <w:left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469"/>
          <w:jc w:val="center"/>
        </w:trPr>
        <w:tc>
          <w:tcPr>
            <w:tcW w:w="2223" w:type="dxa"/>
            <w:vMerge/>
            <w:tcBorders>
              <w:bottom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p>
        </w:tc>
        <w:tc>
          <w:tcPr>
            <w:tcW w:w="1968" w:type="dxa"/>
            <w:vMerge/>
            <w:tcBorders>
              <w:left w:val="double" w:sz="4" w:space="0" w:color="auto"/>
              <w:bottom w:val="double" w:sz="4" w:space="0" w:color="auto"/>
            </w:tcBorders>
            <w:vAlign w:val="center"/>
          </w:tcPr>
          <w:p w:rsidR="00282DF3" w:rsidRPr="00601B84" w:rsidRDefault="00282DF3" w:rsidP="00C57243">
            <w:pPr>
              <w:spacing w:line="300" w:lineRule="auto"/>
              <w:jc w:val="center"/>
              <w:rPr>
                <w:kern w:val="0"/>
                <w:sz w:val="20"/>
                <w:szCs w:val="20"/>
              </w:rPr>
            </w:pPr>
          </w:p>
        </w:tc>
        <w:tc>
          <w:tcPr>
            <w:tcW w:w="2307" w:type="dxa"/>
            <w:tcBorders>
              <w:bottom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计算机系统结构</w:t>
            </w:r>
          </w:p>
        </w:tc>
        <w:tc>
          <w:tcPr>
            <w:tcW w:w="2166" w:type="dxa"/>
            <w:vMerge/>
            <w:tcBorders>
              <w:left w:val="double" w:sz="4" w:space="0" w:color="auto"/>
              <w:bottom w:val="double" w:sz="4" w:space="0" w:color="auto"/>
            </w:tcBorders>
            <w:vAlign w:val="center"/>
          </w:tcPr>
          <w:p w:rsidR="00282DF3" w:rsidRPr="00C57243" w:rsidRDefault="00282DF3" w:rsidP="00C57243">
            <w:pPr>
              <w:spacing w:line="300" w:lineRule="auto"/>
              <w:jc w:val="center"/>
              <w:rPr>
                <w:kern w:val="0"/>
                <w:sz w:val="20"/>
                <w:szCs w:val="20"/>
              </w:rPr>
            </w:pPr>
          </w:p>
        </w:tc>
      </w:tr>
      <w:tr w:rsidR="00282DF3" w:rsidRPr="00C57243">
        <w:trPr>
          <w:trHeight w:val="578"/>
          <w:jc w:val="center"/>
        </w:trPr>
        <w:tc>
          <w:tcPr>
            <w:tcW w:w="2223" w:type="dxa"/>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生物医学工程系</w:t>
            </w:r>
          </w:p>
        </w:tc>
        <w:tc>
          <w:tcPr>
            <w:tcW w:w="1968" w:type="dxa"/>
            <w:tcBorders>
              <w:top w:val="double" w:sz="4" w:space="0" w:color="auto"/>
              <w:lef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生物医学工程</w:t>
            </w:r>
          </w:p>
        </w:tc>
        <w:tc>
          <w:tcPr>
            <w:tcW w:w="2307" w:type="dxa"/>
            <w:tcBorders>
              <w:top w:val="double" w:sz="4" w:space="0" w:color="auto"/>
              <w:right w:val="double" w:sz="4" w:space="0" w:color="auto"/>
            </w:tcBorders>
            <w:vAlign w:val="center"/>
          </w:tcPr>
          <w:p w:rsidR="00282DF3" w:rsidRPr="00601B84" w:rsidRDefault="00282DF3" w:rsidP="00C57243">
            <w:pPr>
              <w:spacing w:line="300" w:lineRule="auto"/>
              <w:jc w:val="center"/>
              <w:rPr>
                <w:kern w:val="0"/>
                <w:sz w:val="20"/>
                <w:szCs w:val="20"/>
              </w:rPr>
            </w:pPr>
            <w:r w:rsidRPr="00601B84">
              <w:rPr>
                <w:rFonts w:cs="宋体" w:hint="eastAsia"/>
                <w:kern w:val="0"/>
                <w:sz w:val="20"/>
                <w:szCs w:val="20"/>
              </w:rPr>
              <w:t>生物医学工程</w:t>
            </w:r>
          </w:p>
        </w:tc>
        <w:tc>
          <w:tcPr>
            <w:tcW w:w="2166" w:type="dxa"/>
            <w:tcBorders>
              <w:top w:val="double" w:sz="4" w:space="0" w:color="auto"/>
              <w:left w:val="double" w:sz="4" w:space="0" w:color="auto"/>
            </w:tcBorders>
            <w:vAlign w:val="center"/>
          </w:tcPr>
          <w:p w:rsidR="00282DF3" w:rsidRPr="00C57243" w:rsidRDefault="00282DF3" w:rsidP="00C57243">
            <w:pPr>
              <w:spacing w:line="300" w:lineRule="auto"/>
              <w:jc w:val="center"/>
              <w:rPr>
                <w:kern w:val="0"/>
                <w:sz w:val="20"/>
                <w:szCs w:val="20"/>
              </w:rPr>
            </w:pPr>
            <w:r w:rsidRPr="00601B84">
              <w:rPr>
                <w:rFonts w:cs="宋体" w:hint="eastAsia"/>
                <w:kern w:val="0"/>
                <w:sz w:val="20"/>
                <w:szCs w:val="20"/>
              </w:rPr>
              <w:t>生物医学工程</w:t>
            </w:r>
          </w:p>
        </w:tc>
      </w:tr>
    </w:tbl>
    <w:p w:rsidR="00282DF3" w:rsidRDefault="00282DF3" w:rsidP="00816DA0">
      <w:pPr>
        <w:spacing w:line="312" w:lineRule="auto"/>
        <w:rPr>
          <w:b/>
          <w:bCs/>
        </w:rPr>
      </w:pPr>
      <w:r w:rsidRPr="00A81A2C">
        <w:rPr>
          <w:rFonts w:cs="宋体" w:hint="eastAsia"/>
          <w:b/>
          <w:bCs/>
          <w:highlight w:val="red"/>
        </w:rPr>
        <w:t>特别说明：电子科学与技术一级学科及下设二级学科硕士点与电信学部夏令营共同举行，欢迎本校集成电路专业学生及外校相关专业学生踊跃报名，并且享受相关招生待遇。</w:t>
      </w:r>
    </w:p>
    <w:p w:rsidR="00282DF3" w:rsidRPr="00B36F29" w:rsidRDefault="00282DF3" w:rsidP="00A46CFD">
      <w:pPr>
        <w:spacing w:line="312" w:lineRule="auto"/>
        <w:rPr>
          <w:b/>
          <w:bCs/>
        </w:rPr>
      </w:pPr>
    </w:p>
    <w:p w:rsidR="00282DF3" w:rsidRPr="00826EB9" w:rsidRDefault="00282DF3" w:rsidP="00A46CFD">
      <w:pPr>
        <w:spacing w:line="312" w:lineRule="auto"/>
        <w:rPr>
          <w:b/>
          <w:bCs/>
        </w:rPr>
      </w:pPr>
      <w:r>
        <w:rPr>
          <w:rFonts w:cs="宋体" w:hint="eastAsia"/>
          <w:b/>
          <w:bCs/>
        </w:rPr>
        <w:t>七</w:t>
      </w:r>
      <w:r w:rsidRPr="00826EB9">
        <w:rPr>
          <w:rFonts w:cs="宋体" w:hint="eastAsia"/>
          <w:b/>
          <w:bCs/>
        </w:rPr>
        <w:t>、其它</w:t>
      </w:r>
    </w:p>
    <w:p w:rsidR="00282DF3" w:rsidRDefault="00282DF3" w:rsidP="00A81A2C">
      <w:pPr>
        <w:spacing w:line="312" w:lineRule="auto"/>
        <w:ind w:firstLineChars="200" w:firstLine="31680"/>
      </w:pPr>
      <w:r>
        <w:t>1</w:t>
      </w:r>
      <w:r>
        <w:rPr>
          <w:rFonts w:cs="宋体" w:hint="eastAsia"/>
        </w:rPr>
        <w:t>、我学部</w:t>
      </w:r>
      <w:r>
        <w:t>2017</w:t>
      </w:r>
      <w:r>
        <w:rPr>
          <w:rFonts w:cs="宋体" w:hint="eastAsia"/>
        </w:rPr>
        <w:t>年研究生自主选拔招生工作，将在学校研究生招生工作领导小组</w:t>
      </w:r>
      <w:bookmarkStart w:id="0" w:name="_GoBack"/>
      <w:bookmarkEnd w:id="0"/>
      <w:r>
        <w:rPr>
          <w:rFonts w:cs="宋体" w:hint="eastAsia"/>
        </w:rPr>
        <w:t>的直接领导下进行，具体方案、实施办法和最终录取结果均须报学校研究生招生工作领导小组审批；学校招生监察小组也全程参与督察工作，以确保此项工作的公正、公平和有效性。</w:t>
      </w:r>
    </w:p>
    <w:p w:rsidR="00282DF3" w:rsidRPr="00884F69" w:rsidRDefault="00282DF3" w:rsidP="00A81A2C">
      <w:pPr>
        <w:spacing w:line="312" w:lineRule="auto"/>
        <w:ind w:firstLineChars="200" w:firstLine="31680"/>
      </w:pPr>
      <w:r>
        <w:t>2</w:t>
      </w:r>
      <w:r>
        <w:rPr>
          <w:rFonts w:cs="宋体" w:hint="eastAsia"/>
        </w:rPr>
        <w:t>、</w:t>
      </w:r>
      <w:r w:rsidRPr="00884F69">
        <w:rPr>
          <w:rFonts w:cs="宋体" w:hint="eastAsia"/>
        </w:rPr>
        <w:t>为学术夏令营正式营员报销参加夏令营时来连的火车票（硬座标准）或汽车票及食宿。</w:t>
      </w:r>
    </w:p>
    <w:p w:rsidR="00282DF3" w:rsidRDefault="00282DF3" w:rsidP="00A81A2C">
      <w:pPr>
        <w:spacing w:line="312" w:lineRule="auto"/>
        <w:ind w:firstLineChars="200" w:firstLine="31680"/>
      </w:pPr>
      <w:r w:rsidRPr="00884F69">
        <w:t>3</w:t>
      </w:r>
      <w:r w:rsidRPr="00884F69">
        <w:rPr>
          <w:rFonts w:cs="宋体" w:hint="eastAsia"/>
        </w:rPr>
        <w:t>、</w:t>
      </w:r>
      <w:r w:rsidRPr="00296FD6">
        <w:rPr>
          <w:rFonts w:cs="宋体" w:hint="eastAsia"/>
        </w:rPr>
        <w:t>建议各位营员自购旅途意外保险。</w:t>
      </w:r>
    </w:p>
    <w:p w:rsidR="00282DF3" w:rsidRDefault="00282DF3" w:rsidP="00A81A2C">
      <w:pPr>
        <w:spacing w:line="312" w:lineRule="auto"/>
        <w:ind w:firstLineChars="200" w:firstLine="31680"/>
      </w:pPr>
      <w:r>
        <w:t>4</w:t>
      </w:r>
      <w:r>
        <w:rPr>
          <w:rFonts w:cs="宋体" w:hint="eastAsia"/>
        </w:rPr>
        <w:t>、在夏令营期间，营员若发生医疗费用及因个人行为导致的意外事故，恕学部不负责任。</w:t>
      </w:r>
    </w:p>
    <w:p w:rsidR="00282DF3" w:rsidRDefault="00282DF3" w:rsidP="00A81A2C">
      <w:pPr>
        <w:spacing w:line="312" w:lineRule="auto"/>
        <w:ind w:firstLineChars="200" w:firstLine="31680"/>
      </w:pPr>
      <w:r>
        <w:t>5</w:t>
      </w:r>
      <w:r>
        <w:rPr>
          <w:rFonts w:cs="宋体" w:hint="eastAsia"/>
        </w:rPr>
        <w:t>、本方案解释权属大连理工大学电子信息与电气工程学部。相关信息请登陆大连理工大学电子信息与电气工程学部网站（</w:t>
      </w:r>
      <w:hyperlink r:id="rId8" w:history="1">
        <w:r>
          <w:rPr>
            <w:rStyle w:val="Hyperlink"/>
          </w:rPr>
          <w:t>http://ee</w:t>
        </w:r>
        <w:r w:rsidRPr="00A5487F">
          <w:rPr>
            <w:rStyle w:val="Hyperlink"/>
          </w:rPr>
          <w:t>.dlut.edu.cn/</w:t>
        </w:r>
      </w:hyperlink>
      <w:r>
        <w:rPr>
          <w:rFonts w:cs="宋体" w:hint="eastAsia"/>
        </w:rPr>
        <w:t>）查询。</w:t>
      </w:r>
    </w:p>
    <w:p w:rsidR="00282DF3" w:rsidRPr="00A46CFD" w:rsidRDefault="00282DF3" w:rsidP="00A81A2C">
      <w:pPr>
        <w:spacing w:line="312" w:lineRule="auto"/>
        <w:ind w:firstLineChars="200" w:firstLine="31680"/>
      </w:pPr>
    </w:p>
    <w:p w:rsidR="00282DF3" w:rsidRDefault="00282DF3" w:rsidP="00A81A2C">
      <w:pPr>
        <w:spacing w:line="312" w:lineRule="auto"/>
        <w:ind w:firstLineChars="2200" w:firstLine="31680"/>
      </w:pPr>
      <w:r>
        <w:rPr>
          <w:rFonts w:cs="宋体" w:hint="eastAsia"/>
        </w:rPr>
        <w:t>大连理工大学电子信息与电气工程学部</w:t>
      </w:r>
    </w:p>
    <w:p w:rsidR="00282DF3" w:rsidRDefault="00282DF3" w:rsidP="00A81A2C">
      <w:pPr>
        <w:spacing w:line="312" w:lineRule="auto"/>
        <w:ind w:firstLineChars="2700" w:firstLine="31680"/>
      </w:pPr>
      <w:r>
        <w:t>2016</w:t>
      </w:r>
      <w:r>
        <w:rPr>
          <w:rFonts w:cs="宋体" w:hint="eastAsia"/>
        </w:rPr>
        <w:t>年</w:t>
      </w:r>
      <w:r>
        <w:t>5</w:t>
      </w:r>
      <w:r>
        <w:rPr>
          <w:rFonts w:cs="宋体" w:hint="eastAsia"/>
        </w:rPr>
        <w:t>月</w:t>
      </w:r>
      <w:r>
        <w:t>24</w:t>
      </w:r>
      <w:r>
        <w:rPr>
          <w:rFonts w:cs="宋体" w:hint="eastAsia"/>
        </w:rPr>
        <w:t>日</w:t>
      </w:r>
    </w:p>
    <w:p w:rsidR="00282DF3" w:rsidRDefault="00282DF3" w:rsidP="00A46CFD">
      <w:pPr>
        <w:spacing w:line="312" w:lineRule="auto"/>
        <w:rPr>
          <w:b/>
          <w:bCs/>
          <w:sz w:val="28"/>
          <w:szCs w:val="28"/>
        </w:rPr>
      </w:pPr>
    </w:p>
    <w:p w:rsidR="00282DF3" w:rsidRPr="006A02D4" w:rsidRDefault="00282DF3" w:rsidP="00596E2D">
      <w:pPr>
        <w:spacing w:line="312" w:lineRule="auto"/>
        <w:rPr>
          <w:b/>
          <w:bCs/>
        </w:rPr>
      </w:pPr>
      <w:r w:rsidRPr="006A02D4">
        <w:rPr>
          <w:rFonts w:cs="宋体" w:hint="eastAsia"/>
          <w:b/>
          <w:bCs/>
        </w:rPr>
        <w:t>联系人：汤淑芬，</w:t>
      </w:r>
      <w:r w:rsidRPr="006A02D4">
        <w:rPr>
          <w:b/>
          <w:bCs/>
        </w:rPr>
        <w:t>0411-84708471</w:t>
      </w:r>
      <w:r w:rsidRPr="006A02D4">
        <w:rPr>
          <w:rFonts w:cs="宋体" w:hint="eastAsia"/>
          <w:b/>
          <w:bCs/>
        </w:rPr>
        <w:t>，</w:t>
      </w:r>
      <w:hyperlink r:id="rId9" w:history="1">
        <w:r>
          <w:rPr>
            <w:rStyle w:val="Hyperlink"/>
          </w:rPr>
          <w:t>xly_eedut@126.com</w:t>
        </w:r>
      </w:hyperlink>
    </w:p>
    <w:p w:rsidR="00282DF3" w:rsidRDefault="00282DF3" w:rsidP="00A81A2C">
      <w:pPr>
        <w:ind w:firstLineChars="392" w:firstLine="31680"/>
        <w:rPr>
          <w:rStyle w:val="Hyperlink"/>
        </w:rPr>
      </w:pPr>
      <w:r w:rsidRPr="006A02D4">
        <w:rPr>
          <w:rFonts w:cs="宋体" w:hint="eastAsia"/>
          <w:b/>
          <w:bCs/>
        </w:rPr>
        <w:t>赫英辉，</w:t>
      </w:r>
      <w:r w:rsidRPr="006019A5">
        <w:rPr>
          <w:b/>
          <w:bCs/>
          <w:color w:val="000000"/>
        </w:rPr>
        <w:t>0411-84708496</w:t>
      </w:r>
      <w:r w:rsidRPr="006A02D4">
        <w:rPr>
          <w:rFonts w:cs="宋体" w:hint="eastAsia"/>
          <w:b/>
          <w:bCs/>
        </w:rPr>
        <w:t>，</w:t>
      </w:r>
      <w:hyperlink r:id="rId10" w:history="1">
        <w:r>
          <w:rPr>
            <w:rStyle w:val="Hyperlink"/>
          </w:rPr>
          <w:t>xly_eedut@126.com</w:t>
        </w:r>
      </w:hyperlink>
    </w:p>
    <w:p w:rsidR="00282DF3" w:rsidRDefault="00282DF3" w:rsidP="00601B84">
      <w:pPr>
        <w:rPr>
          <w:rStyle w:val="Hyperlink"/>
          <w:b/>
          <w:bCs/>
          <w:color w:val="auto"/>
          <w:u w:val="none"/>
        </w:rPr>
      </w:pPr>
      <w:r w:rsidRPr="00601B84">
        <w:rPr>
          <w:rStyle w:val="Hyperlink"/>
          <w:rFonts w:cs="宋体" w:hint="eastAsia"/>
          <w:b/>
          <w:bCs/>
          <w:color w:val="auto"/>
          <w:u w:val="none"/>
        </w:rPr>
        <w:t>通信地址：</w:t>
      </w:r>
      <w:r>
        <w:rPr>
          <w:rStyle w:val="Hyperlink"/>
          <w:rFonts w:cs="宋体" w:hint="eastAsia"/>
          <w:b/>
          <w:bCs/>
          <w:color w:val="auto"/>
          <w:u w:val="none"/>
        </w:rPr>
        <w:t>辽宁省大连市大连理工大学创新园大厦</w:t>
      </w:r>
      <w:r>
        <w:rPr>
          <w:rStyle w:val="Hyperlink"/>
          <w:b/>
          <w:bCs/>
          <w:color w:val="auto"/>
          <w:u w:val="none"/>
        </w:rPr>
        <w:t>A322</w:t>
      </w:r>
      <w:r>
        <w:rPr>
          <w:rStyle w:val="Hyperlink"/>
          <w:rFonts w:cs="宋体" w:hint="eastAsia"/>
          <w:b/>
          <w:bCs/>
          <w:color w:val="auto"/>
          <w:u w:val="none"/>
        </w:rPr>
        <w:t>室汤淑芬老师收</w:t>
      </w:r>
    </w:p>
    <w:p w:rsidR="00282DF3" w:rsidRPr="00601B84" w:rsidRDefault="00282DF3" w:rsidP="00601B84">
      <w:pPr>
        <w:rPr>
          <w:b/>
          <w:bCs/>
        </w:rPr>
      </w:pPr>
      <w:r>
        <w:rPr>
          <w:rStyle w:val="Hyperlink"/>
          <w:rFonts w:cs="宋体" w:hint="eastAsia"/>
          <w:b/>
          <w:bCs/>
          <w:color w:val="auto"/>
          <w:u w:val="none"/>
        </w:rPr>
        <w:t>邮编：</w:t>
      </w:r>
      <w:r>
        <w:rPr>
          <w:rStyle w:val="Hyperlink"/>
          <w:b/>
          <w:bCs/>
          <w:color w:val="auto"/>
          <w:u w:val="none"/>
        </w:rPr>
        <w:t>116024</w:t>
      </w:r>
    </w:p>
    <w:sectPr w:rsidR="00282DF3" w:rsidRPr="00601B84" w:rsidSect="00FF11A5">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DF3" w:rsidRDefault="00282DF3" w:rsidP="008610C0">
      <w:r>
        <w:separator/>
      </w:r>
    </w:p>
  </w:endnote>
  <w:endnote w:type="continuationSeparator" w:id="1">
    <w:p w:rsidR="00282DF3" w:rsidRDefault="00282DF3" w:rsidP="008610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Arial Unicode MS"/>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DF3" w:rsidRDefault="00282DF3" w:rsidP="008610C0">
      <w:r>
        <w:separator/>
      </w:r>
    </w:p>
  </w:footnote>
  <w:footnote w:type="continuationSeparator" w:id="1">
    <w:p w:rsidR="00282DF3" w:rsidRDefault="00282DF3" w:rsidP="008610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DF3" w:rsidRDefault="00282DF3" w:rsidP="00780066">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A4EAA"/>
    <w:multiLevelType w:val="hybridMultilevel"/>
    <w:tmpl w:val="0A70CA7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
    <w:nsid w:val="1AC23188"/>
    <w:multiLevelType w:val="hybridMultilevel"/>
    <w:tmpl w:val="82628C12"/>
    <w:lvl w:ilvl="0" w:tplc="9420262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3E904B57"/>
    <w:multiLevelType w:val="hybridMultilevel"/>
    <w:tmpl w:val="04D0DFB0"/>
    <w:lvl w:ilvl="0" w:tplc="8510398C">
      <w:start w:val="1"/>
      <w:numFmt w:val="decimal"/>
      <w:lvlText w:val="（%1）"/>
      <w:lvlJc w:val="left"/>
      <w:pPr>
        <w:ind w:left="720" w:hanging="720"/>
      </w:pPr>
      <w:rPr>
        <w:rFonts w:ascii="Times New Roman" w:eastAsia="宋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5CA57F99"/>
    <w:multiLevelType w:val="hybridMultilevel"/>
    <w:tmpl w:val="1EA62C8C"/>
    <w:lvl w:ilvl="0" w:tplc="8F24B952">
      <w:start w:val="1"/>
      <w:numFmt w:val="decimal"/>
      <w:lvlText w:val="（%1）"/>
      <w:lvlJc w:val="left"/>
      <w:pPr>
        <w:ind w:left="720" w:hanging="720"/>
      </w:pPr>
      <w:rPr>
        <w:rFonts w:ascii="Times New Roman"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doNotDisplayPageBoundaries/>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3335"/>
    <w:rsid w:val="00000A98"/>
    <w:rsid w:val="000020BF"/>
    <w:rsid w:val="00006298"/>
    <w:rsid w:val="00006CE6"/>
    <w:rsid w:val="00007728"/>
    <w:rsid w:val="00010C12"/>
    <w:rsid w:val="00014559"/>
    <w:rsid w:val="00020793"/>
    <w:rsid w:val="00021BC5"/>
    <w:rsid w:val="000224FE"/>
    <w:rsid w:val="000227A7"/>
    <w:rsid w:val="0002352F"/>
    <w:rsid w:val="00025305"/>
    <w:rsid w:val="000258C9"/>
    <w:rsid w:val="000259A4"/>
    <w:rsid w:val="00025CEA"/>
    <w:rsid w:val="0002764D"/>
    <w:rsid w:val="00031908"/>
    <w:rsid w:val="00034172"/>
    <w:rsid w:val="0004053D"/>
    <w:rsid w:val="00040821"/>
    <w:rsid w:val="00040826"/>
    <w:rsid w:val="00042FC3"/>
    <w:rsid w:val="0004406B"/>
    <w:rsid w:val="000478B1"/>
    <w:rsid w:val="00050216"/>
    <w:rsid w:val="00052FC5"/>
    <w:rsid w:val="000566A3"/>
    <w:rsid w:val="00057F10"/>
    <w:rsid w:val="0007132B"/>
    <w:rsid w:val="000737F2"/>
    <w:rsid w:val="00074862"/>
    <w:rsid w:val="00076182"/>
    <w:rsid w:val="00080FF9"/>
    <w:rsid w:val="000810D2"/>
    <w:rsid w:val="00082300"/>
    <w:rsid w:val="00085EDA"/>
    <w:rsid w:val="000869C2"/>
    <w:rsid w:val="00090158"/>
    <w:rsid w:val="000915B9"/>
    <w:rsid w:val="00091BA6"/>
    <w:rsid w:val="0009270D"/>
    <w:rsid w:val="00096229"/>
    <w:rsid w:val="000A1AD9"/>
    <w:rsid w:val="000A6ABD"/>
    <w:rsid w:val="000A6B0D"/>
    <w:rsid w:val="000B16ED"/>
    <w:rsid w:val="000B2FD7"/>
    <w:rsid w:val="000B36C0"/>
    <w:rsid w:val="000B5C91"/>
    <w:rsid w:val="000B6141"/>
    <w:rsid w:val="000B69F9"/>
    <w:rsid w:val="000B6D10"/>
    <w:rsid w:val="000B75E0"/>
    <w:rsid w:val="000C00F9"/>
    <w:rsid w:val="000C1453"/>
    <w:rsid w:val="000C6EE4"/>
    <w:rsid w:val="000D0082"/>
    <w:rsid w:val="000D689A"/>
    <w:rsid w:val="000D7AD6"/>
    <w:rsid w:val="000E09A5"/>
    <w:rsid w:val="000E0A4C"/>
    <w:rsid w:val="000E2723"/>
    <w:rsid w:val="000E4166"/>
    <w:rsid w:val="000E4A45"/>
    <w:rsid w:val="000F076C"/>
    <w:rsid w:val="000F22CD"/>
    <w:rsid w:val="000F421E"/>
    <w:rsid w:val="000F5B1D"/>
    <w:rsid w:val="000F7504"/>
    <w:rsid w:val="001010CF"/>
    <w:rsid w:val="001011C1"/>
    <w:rsid w:val="001032CB"/>
    <w:rsid w:val="001079EA"/>
    <w:rsid w:val="0011003C"/>
    <w:rsid w:val="00110106"/>
    <w:rsid w:val="001104F2"/>
    <w:rsid w:val="00112926"/>
    <w:rsid w:val="00113C6E"/>
    <w:rsid w:val="0011774E"/>
    <w:rsid w:val="0012660B"/>
    <w:rsid w:val="001301CA"/>
    <w:rsid w:val="00130CC4"/>
    <w:rsid w:val="00133419"/>
    <w:rsid w:val="001341D3"/>
    <w:rsid w:val="00137725"/>
    <w:rsid w:val="00144267"/>
    <w:rsid w:val="00144E72"/>
    <w:rsid w:val="00145B85"/>
    <w:rsid w:val="0014664E"/>
    <w:rsid w:val="00147FAE"/>
    <w:rsid w:val="0015772F"/>
    <w:rsid w:val="001700C0"/>
    <w:rsid w:val="00170823"/>
    <w:rsid w:val="00170A5B"/>
    <w:rsid w:val="0017166C"/>
    <w:rsid w:val="00172E21"/>
    <w:rsid w:val="00173138"/>
    <w:rsid w:val="00174373"/>
    <w:rsid w:val="00175223"/>
    <w:rsid w:val="001768D8"/>
    <w:rsid w:val="00177618"/>
    <w:rsid w:val="00177CCB"/>
    <w:rsid w:val="00184C30"/>
    <w:rsid w:val="00186F4F"/>
    <w:rsid w:val="00191831"/>
    <w:rsid w:val="00194965"/>
    <w:rsid w:val="001A27CC"/>
    <w:rsid w:val="001A5184"/>
    <w:rsid w:val="001A54FE"/>
    <w:rsid w:val="001B3612"/>
    <w:rsid w:val="001B4AE9"/>
    <w:rsid w:val="001B5C7C"/>
    <w:rsid w:val="001C0244"/>
    <w:rsid w:val="001C188E"/>
    <w:rsid w:val="001C2299"/>
    <w:rsid w:val="001C2C7D"/>
    <w:rsid w:val="001C2FEC"/>
    <w:rsid w:val="001C3A8D"/>
    <w:rsid w:val="001C4B67"/>
    <w:rsid w:val="001C4BBF"/>
    <w:rsid w:val="001C5B8D"/>
    <w:rsid w:val="001D056C"/>
    <w:rsid w:val="001D0B7B"/>
    <w:rsid w:val="001D0BF5"/>
    <w:rsid w:val="001D2231"/>
    <w:rsid w:val="001D320A"/>
    <w:rsid w:val="001D5B8A"/>
    <w:rsid w:val="001D6466"/>
    <w:rsid w:val="001D6ADD"/>
    <w:rsid w:val="001D7007"/>
    <w:rsid w:val="001E0DE9"/>
    <w:rsid w:val="001E0EBA"/>
    <w:rsid w:val="001E390E"/>
    <w:rsid w:val="001E3FA6"/>
    <w:rsid w:val="001E4686"/>
    <w:rsid w:val="001F4CBD"/>
    <w:rsid w:val="001F5413"/>
    <w:rsid w:val="001F5DE6"/>
    <w:rsid w:val="001F65E9"/>
    <w:rsid w:val="001F75FF"/>
    <w:rsid w:val="001F761F"/>
    <w:rsid w:val="001F7848"/>
    <w:rsid w:val="002013E6"/>
    <w:rsid w:val="00203331"/>
    <w:rsid w:val="00203368"/>
    <w:rsid w:val="002039A4"/>
    <w:rsid w:val="0020517B"/>
    <w:rsid w:val="00217A5A"/>
    <w:rsid w:val="00223241"/>
    <w:rsid w:val="00223E2B"/>
    <w:rsid w:val="00226C39"/>
    <w:rsid w:val="00226F27"/>
    <w:rsid w:val="00232985"/>
    <w:rsid w:val="0023450C"/>
    <w:rsid w:val="00237195"/>
    <w:rsid w:val="00237840"/>
    <w:rsid w:val="00237A63"/>
    <w:rsid w:val="002403B8"/>
    <w:rsid w:val="00242C92"/>
    <w:rsid w:val="00243003"/>
    <w:rsid w:val="00252960"/>
    <w:rsid w:val="0025485D"/>
    <w:rsid w:val="002548B9"/>
    <w:rsid w:val="00254ECA"/>
    <w:rsid w:val="00255A55"/>
    <w:rsid w:val="00255FCC"/>
    <w:rsid w:val="002578C1"/>
    <w:rsid w:val="002625D0"/>
    <w:rsid w:val="00264739"/>
    <w:rsid w:val="002668EC"/>
    <w:rsid w:val="00266EAE"/>
    <w:rsid w:val="002670EA"/>
    <w:rsid w:val="002753B5"/>
    <w:rsid w:val="00275903"/>
    <w:rsid w:val="002777C6"/>
    <w:rsid w:val="00282BFE"/>
    <w:rsid w:val="00282DF3"/>
    <w:rsid w:val="0028428C"/>
    <w:rsid w:val="00284BE9"/>
    <w:rsid w:val="00292F09"/>
    <w:rsid w:val="00296FD6"/>
    <w:rsid w:val="002A5BB2"/>
    <w:rsid w:val="002B0734"/>
    <w:rsid w:val="002B0F79"/>
    <w:rsid w:val="002B0F8E"/>
    <w:rsid w:val="002B1A5F"/>
    <w:rsid w:val="002B32CD"/>
    <w:rsid w:val="002B4B81"/>
    <w:rsid w:val="002B5B1F"/>
    <w:rsid w:val="002B7AB3"/>
    <w:rsid w:val="002B7EC2"/>
    <w:rsid w:val="002C0B18"/>
    <w:rsid w:val="002C37A2"/>
    <w:rsid w:val="002C4F98"/>
    <w:rsid w:val="002C6B94"/>
    <w:rsid w:val="002D2162"/>
    <w:rsid w:val="002D3BE4"/>
    <w:rsid w:val="002D3FCE"/>
    <w:rsid w:val="002D4DC5"/>
    <w:rsid w:val="002D5D56"/>
    <w:rsid w:val="002D7088"/>
    <w:rsid w:val="002E0B24"/>
    <w:rsid w:val="002E0FA8"/>
    <w:rsid w:val="002E2AFC"/>
    <w:rsid w:val="002E3E17"/>
    <w:rsid w:val="002E5DA8"/>
    <w:rsid w:val="002E7E96"/>
    <w:rsid w:val="002E7FB7"/>
    <w:rsid w:val="002F452F"/>
    <w:rsid w:val="002F76E9"/>
    <w:rsid w:val="00302C28"/>
    <w:rsid w:val="00305C27"/>
    <w:rsid w:val="003060D6"/>
    <w:rsid w:val="00306357"/>
    <w:rsid w:val="00306459"/>
    <w:rsid w:val="00306F12"/>
    <w:rsid w:val="00310442"/>
    <w:rsid w:val="003122AF"/>
    <w:rsid w:val="00317D5A"/>
    <w:rsid w:val="003232A3"/>
    <w:rsid w:val="0032714D"/>
    <w:rsid w:val="00332063"/>
    <w:rsid w:val="003336CE"/>
    <w:rsid w:val="0033414D"/>
    <w:rsid w:val="00334244"/>
    <w:rsid w:val="00335146"/>
    <w:rsid w:val="0033618E"/>
    <w:rsid w:val="00336C91"/>
    <w:rsid w:val="003407F8"/>
    <w:rsid w:val="00341550"/>
    <w:rsid w:val="0034210A"/>
    <w:rsid w:val="003440BA"/>
    <w:rsid w:val="0034719B"/>
    <w:rsid w:val="003471EE"/>
    <w:rsid w:val="00347707"/>
    <w:rsid w:val="003515C0"/>
    <w:rsid w:val="0035277D"/>
    <w:rsid w:val="00352CC4"/>
    <w:rsid w:val="003536F3"/>
    <w:rsid w:val="0035470D"/>
    <w:rsid w:val="00354ED6"/>
    <w:rsid w:val="003600E8"/>
    <w:rsid w:val="00361E56"/>
    <w:rsid w:val="00363799"/>
    <w:rsid w:val="00364534"/>
    <w:rsid w:val="00365491"/>
    <w:rsid w:val="003712E7"/>
    <w:rsid w:val="00372D83"/>
    <w:rsid w:val="003738D9"/>
    <w:rsid w:val="003800E5"/>
    <w:rsid w:val="00380318"/>
    <w:rsid w:val="003855A5"/>
    <w:rsid w:val="003856D9"/>
    <w:rsid w:val="00386404"/>
    <w:rsid w:val="00386981"/>
    <w:rsid w:val="00387656"/>
    <w:rsid w:val="00390AE5"/>
    <w:rsid w:val="00392B4E"/>
    <w:rsid w:val="00393407"/>
    <w:rsid w:val="00397B73"/>
    <w:rsid w:val="003A2679"/>
    <w:rsid w:val="003A3B12"/>
    <w:rsid w:val="003A73D5"/>
    <w:rsid w:val="003A7A52"/>
    <w:rsid w:val="003A7E71"/>
    <w:rsid w:val="003B4278"/>
    <w:rsid w:val="003B5688"/>
    <w:rsid w:val="003B6AAE"/>
    <w:rsid w:val="003C0013"/>
    <w:rsid w:val="003C0305"/>
    <w:rsid w:val="003C1DE4"/>
    <w:rsid w:val="003C3757"/>
    <w:rsid w:val="003C5021"/>
    <w:rsid w:val="003D0007"/>
    <w:rsid w:val="003D224A"/>
    <w:rsid w:val="003D3F72"/>
    <w:rsid w:val="003D450E"/>
    <w:rsid w:val="003E122F"/>
    <w:rsid w:val="003E1ECD"/>
    <w:rsid w:val="003E3542"/>
    <w:rsid w:val="003E6DD0"/>
    <w:rsid w:val="003E6FA9"/>
    <w:rsid w:val="003E724E"/>
    <w:rsid w:val="003E732D"/>
    <w:rsid w:val="003E7E4D"/>
    <w:rsid w:val="003F06BC"/>
    <w:rsid w:val="003F1765"/>
    <w:rsid w:val="003F25C5"/>
    <w:rsid w:val="003F45AD"/>
    <w:rsid w:val="00406DCC"/>
    <w:rsid w:val="0041014F"/>
    <w:rsid w:val="0041272A"/>
    <w:rsid w:val="004139FC"/>
    <w:rsid w:val="004159DB"/>
    <w:rsid w:val="00416A05"/>
    <w:rsid w:val="00417BD6"/>
    <w:rsid w:val="00421F28"/>
    <w:rsid w:val="00423BB1"/>
    <w:rsid w:val="00424AAE"/>
    <w:rsid w:val="00424D15"/>
    <w:rsid w:val="004260FF"/>
    <w:rsid w:val="00427919"/>
    <w:rsid w:val="00430001"/>
    <w:rsid w:val="00430986"/>
    <w:rsid w:val="00437832"/>
    <w:rsid w:val="00441F0C"/>
    <w:rsid w:val="004430EC"/>
    <w:rsid w:val="0044313A"/>
    <w:rsid w:val="00443E77"/>
    <w:rsid w:val="0044784D"/>
    <w:rsid w:val="00447EC4"/>
    <w:rsid w:val="00450074"/>
    <w:rsid w:val="00450C08"/>
    <w:rsid w:val="004515D9"/>
    <w:rsid w:val="00453400"/>
    <w:rsid w:val="0045345B"/>
    <w:rsid w:val="0045610E"/>
    <w:rsid w:val="00457826"/>
    <w:rsid w:val="004662B7"/>
    <w:rsid w:val="00466965"/>
    <w:rsid w:val="00467F04"/>
    <w:rsid w:val="00475FEC"/>
    <w:rsid w:val="00476707"/>
    <w:rsid w:val="00476FF4"/>
    <w:rsid w:val="004770E9"/>
    <w:rsid w:val="00480526"/>
    <w:rsid w:val="004828AC"/>
    <w:rsid w:val="00483725"/>
    <w:rsid w:val="0049461E"/>
    <w:rsid w:val="0049489D"/>
    <w:rsid w:val="004970AB"/>
    <w:rsid w:val="00497A24"/>
    <w:rsid w:val="00497FD1"/>
    <w:rsid w:val="004A3233"/>
    <w:rsid w:val="004A3336"/>
    <w:rsid w:val="004A466C"/>
    <w:rsid w:val="004A6382"/>
    <w:rsid w:val="004A7AA5"/>
    <w:rsid w:val="004B2723"/>
    <w:rsid w:val="004B3FFA"/>
    <w:rsid w:val="004B4344"/>
    <w:rsid w:val="004B7CA0"/>
    <w:rsid w:val="004C1789"/>
    <w:rsid w:val="004C2A99"/>
    <w:rsid w:val="004C72B0"/>
    <w:rsid w:val="004D1C22"/>
    <w:rsid w:val="004D33E6"/>
    <w:rsid w:val="004D3506"/>
    <w:rsid w:val="004D4493"/>
    <w:rsid w:val="004D484C"/>
    <w:rsid w:val="004D6EFA"/>
    <w:rsid w:val="004D7BDC"/>
    <w:rsid w:val="004E12C2"/>
    <w:rsid w:val="004E3896"/>
    <w:rsid w:val="004E5981"/>
    <w:rsid w:val="004E5BC6"/>
    <w:rsid w:val="004E6EAB"/>
    <w:rsid w:val="004F01A9"/>
    <w:rsid w:val="004F036D"/>
    <w:rsid w:val="004F3DF3"/>
    <w:rsid w:val="004F4411"/>
    <w:rsid w:val="004F4F40"/>
    <w:rsid w:val="004F559B"/>
    <w:rsid w:val="004F759D"/>
    <w:rsid w:val="004F7ACA"/>
    <w:rsid w:val="00500074"/>
    <w:rsid w:val="0050467B"/>
    <w:rsid w:val="00511356"/>
    <w:rsid w:val="00512325"/>
    <w:rsid w:val="00520B7B"/>
    <w:rsid w:val="0053259F"/>
    <w:rsid w:val="00533263"/>
    <w:rsid w:val="00534A18"/>
    <w:rsid w:val="00537B97"/>
    <w:rsid w:val="00547991"/>
    <w:rsid w:val="00552577"/>
    <w:rsid w:val="0055357F"/>
    <w:rsid w:val="00553A4B"/>
    <w:rsid w:val="00554544"/>
    <w:rsid w:val="00557961"/>
    <w:rsid w:val="005602AD"/>
    <w:rsid w:val="005665FB"/>
    <w:rsid w:val="005671F8"/>
    <w:rsid w:val="005678A5"/>
    <w:rsid w:val="0057015E"/>
    <w:rsid w:val="00571F57"/>
    <w:rsid w:val="00574412"/>
    <w:rsid w:val="0057444E"/>
    <w:rsid w:val="00575B40"/>
    <w:rsid w:val="005806DE"/>
    <w:rsid w:val="00582E7E"/>
    <w:rsid w:val="0058618C"/>
    <w:rsid w:val="00586D3E"/>
    <w:rsid w:val="005919C5"/>
    <w:rsid w:val="00595CC3"/>
    <w:rsid w:val="005960EE"/>
    <w:rsid w:val="00596E2D"/>
    <w:rsid w:val="005A2A1E"/>
    <w:rsid w:val="005A2D7F"/>
    <w:rsid w:val="005A3F3D"/>
    <w:rsid w:val="005B2254"/>
    <w:rsid w:val="005B2316"/>
    <w:rsid w:val="005B4436"/>
    <w:rsid w:val="005B5247"/>
    <w:rsid w:val="005B58E4"/>
    <w:rsid w:val="005B5D86"/>
    <w:rsid w:val="005B6D80"/>
    <w:rsid w:val="005C0D80"/>
    <w:rsid w:val="005C3162"/>
    <w:rsid w:val="005C4BAB"/>
    <w:rsid w:val="005C4C35"/>
    <w:rsid w:val="005C4D7A"/>
    <w:rsid w:val="005D0D97"/>
    <w:rsid w:val="005D1A35"/>
    <w:rsid w:val="005D1FF6"/>
    <w:rsid w:val="005D2BA3"/>
    <w:rsid w:val="005D2CF7"/>
    <w:rsid w:val="005D30FD"/>
    <w:rsid w:val="005D5BAC"/>
    <w:rsid w:val="005D64C3"/>
    <w:rsid w:val="005D752A"/>
    <w:rsid w:val="005E1079"/>
    <w:rsid w:val="005E2842"/>
    <w:rsid w:val="005E4FAB"/>
    <w:rsid w:val="005E63F7"/>
    <w:rsid w:val="005E64DB"/>
    <w:rsid w:val="005E72C3"/>
    <w:rsid w:val="005E7B51"/>
    <w:rsid w:val="005F1EAF"/>
    <w:rsid w:val="005F35B1"/>
    <w:rsid w:val="005F734F"/>
    <w:rsid w:val="006002A6"/>
    <w:rsid w:val="006019A5"/>
    <w:rsid w:val="00601B84"/>
    <w:rsid w:val="0060262C"/>
    <w:rsid w:val="00602832"/>
    <w:rsid w:val="006045E4"/>
    <w:rsid w:val="00612194"/>
    <w:rsid w:val="00612B29"/>
    <w:rsid w:val="006201DD"/>
    <w:rsid w:val="006207D8"/>
    <w:rsid w:val="00621096"/>
    <w:rsid w:val="006212AE"/>
    <w:rsid w:val="00622BD7"/>
    <w:rsid w:val="00623917"/>
    <w:rsid w:val="006263FC"/>
    <w:rsid w:val="00626466"/>
    <w:rsid w:val="00626D2B"/>
    <w:rsid w:val="00627537"/>
    <w:rsid w:val="006300E8"/>
    <w:rsid w:val="006316E3"/>
    <w:rsid w:val="00631DE1"/>
    <w:rsid w:val="00632EBE"/>
    <w:rsid w:val="00635D4E"/>
    <w:rsid w:val="00640996"/>
    <w:rsid w:val="00640D0F"/>
    <w:rsid w:val="006424B5"/>
    <w:rsid w:val="00643212"/>
    <w:rsid w:val="006452C8"/>
    <w:rsid w:val="00651550"/>
    <w:rsid w:val="00654FF2"/>
    <w:rsid w:val="0065519E"/>
    <w:rsid w:val="006563AF"/>
    <w:rsid w:val="00660E0F"/>
    <w:rsid w:val="0066281D"/>
    <w:rsid w:val="0066397D"/>
    <w:rsid w:val="00664B87"/>
    <w:rsid w:val="00665E5A"/>
    <w:rsid w:val="00666025"/>
    <w:rsid w:val="00670667"/>
    <w:rsid w:val="00670F3F"/>
    <w:rsid w:val="00673AB2"/>
    <w:rsid w:val="00676562"/>
    <w:rsid w:val="00681BB8"/>
    <w:rsid w:val="006828FC"/>
    <w:rsid w:val="00682A7F"/>
    <w:rsid w:val="006854EC"/>
    <w:rsid w:val="0069006A"/>
    <w:rsid w:val="00690E51"/>
    <w:rsid w:val="00691592"/>
    <w:rsid w:val="006916F5"/>
    <w:rsid w:val="006926C2"/>
    <w:rsid w:val="00693965"/>
    <w:rsid w:val="006953B7"/>
    <w:rsid w:val="006961AD"/>
    <w:rsid w:val="006A02D4"/>
    <w:rsid w:val="006A05BB"/>
    <w:rsid w:val="006A0C20"/>
    <w:rsid w:val="006A3D6F"/>
    <w:rsid w:val="006A5A22"/>
    <w:rsid w:val="006B5C76"/>
    <w:rsid w:val="006B6498"/>
    <w:rsid w:val="006C2266"/>
    <w:rsid w:val="006C4BAD"/>
    <w:rsid w:val="006C6067"/>
    <w:rsid w:val="006C7129"/>
    <w:rsid w:val="006D01C3"/>
    <w:rsid w:val="006D1581"/>
    <w:rsid w:val="006D255D"/>
    <w:rsid w:val="006D46D1"/>
    <w:rsid w:val="006E454A"/>
    <w:rsid w:val="006E5F42"/>
    <w:rsid w:val="006F0DE7"/>
    <w:rsid w:val="006F591B"/>
    <w:rsid w:val="006F5F62"/>
    <w:rsid w:val="006F5F95"/>
    <w:rsid w:val="00706362"/>
    <w:rsid w:val="0070685A"/>
    <w:rsid w:val="00707536"/>
    <w:rsid w:val="00710824"/>
    <w:rsid w:val="00710977"/>
    <w:rsid w:val="007122E4"/>
    <w:rsid w:val="007129D4"/>
    <w:rsid w:val="00715020"/>
    <w:rsid w:val="007165A3"/>
    <w:rsid w:val="007167FE"/>
    <w:rsid w:val="00724008"/>
    <w:rsid w:val="00726361"/>
    <w:rsid w:val="00730EB5"/>
    <w:rsid w:val="0073125F"/>
    <w:rsid w:val="00736D3A"/>
    <w:rsid w:val="007374F4"/>
    <w:rsid w:val="007408A4"/>
    <w:rsid w:val="00740DF5"/>
    <w:rsid w:val="00746375"/>
    <w:rsid w:val="00747CA8"/>
    <w:rsid w:val="00754875"/>
    <w:rsid w:val="007556CC"/>
    <w:rsid w:val="007617F5"/>
    <w:rsid w:val="00764EEA"/>
    <w:rsid w:val="00765E45"/>
    <w:rsid w:val="007669F4"/>
    <w:rsid w:val="00766B44"/>
    <w:rsid w:val="00770E2D"/>
    <w:rsid w:val="00771D99"/>
    <w:rsid w:val="0077636C"/>
    <w:rsid w:val="00777EDC"/>
    <w:rsid w:val="00780066"/>
    <w:rsid w:val="007815DE"/>
    <w:rsid w:val="007828B8"/>
    <w:rsid w:val="0078497A"/>
    <w:rsid w:val="00786709"/>
    <w:rsid w:val="00786867"/>
    <w:rsid w:val="00787401"/>
    <w:rsid w:val="007874FA"/>
    <w:rsid w:val="007902CB"/>
    <w:rsid w:val="0079105C"/>
    <w:rsid w:val="00792386"/>
    <w:rsid w:val="007934EE"/>
    <w:rsid w:val="007A3009"/>
    <w:rsid w:val="007A5153"/>
    <w:rsid w:val="007A761B"/>
    <w:rsid w:val="007B2ED4"/>
    <w:rsid w:val="007B315A"/>
    <w:rsid w:val="007B4E29"/>
    <w:rsid w:val="007B5542"/>
    <w:rsid w:val="007B6377"/>
    <w:rsid w:val="007C0953"/>
    <w:rsid w:val="007C1496"/>
    <w:rsid w:val="007C6D46"/>
    <w:rsid w:val="007D00D2"/>
    <w:rsid w:val="007D032A"/>
    <w:rsid w:val="007D2690"/>
    <w:rsid w:val="007D3748"/>
    <w:rsid w:val="007D3A7C"/>
    <w:rsid w:val="007D61BA"/>
    <w:rsid w:val="007E01EA"/>
    <w:rsid w:val="007E1BD4"/>
    <w:rsid w:val="007E35DD"/>
    <w:rsid w:val="007E45E7"/>
    <w:rsid w:val="007E469B"/>
    <w:rsid w:val="007E550D"/>
    <w:rsid w:val="007E58BE"/>
    <w:rsid w:val="007F03F4"/>
    <w:rsid w:val="007F0B1D"/>
    <w:rsid w:val="007F173F"/>
    <w:rsid w:val="007F318F"/>
    <w:rsid w:val="007F3A70"/>
    <w:rsid w:val="007F4605"/>
    <w:rsid w:val="007F55CB"/>
    <w:rsid w:val="007F5917"/>
    <w:rsid w:val="007F59CF"/>
    <w:rsid w:val="007F756F"/>
    <w:rsid w:val="007F7870"/>
    <w:rsid w:val="00802868"/>
    <w:rsid w:val="00803B6C"/>
    <w:rsid w:val="00804045"/>
    <w:rsid w:val="00804980"/>
    <w:rsid w:val="0081149B"/>
    <w:rsid w:val="008127BE"/>
    <w:rsid w:val="00815905"/>
    <w:rsid w:val="00816DA0"/>
    <w:rsid w:val="0082274C"/>
    <w:rsid w:val="00823C91"/>
    <w:rsid w:val="00824407"/>
    <w:rsid w:val="0082606E"/>
    <w:rsid w:val="00826EB9"/>
    <w:rsid w:val="00830A5D"/>
    <w:rsid w:val="0083172F"/>
    <w:rsid w:val="00840472"/>
    <w:rsid w:val="00845673"/>
    <w:rsid w:val="00845811"/>
    <w:rsid w:val="00847974"/>
    <w:rsid w:val="00851DEB"/>
    <w:rsid w:val="00852ABD"/>
    <w:rsid w:val="008610C0"/>
    <w:rsid w:val="00862DB3"/>
    <w:rsid w:val="008637D9"/>
    <w:rsid w:val="00863CA6"/>
    <w:rsid w:val="00864374"/>
    <w:rsid w:val="00867994"/>
    <w:rsid w:val="00870E61"/>
    <w:rsid w:val="0087186B"/>
    <w:rsid w:val="00872C50"/>
    <w:rsid w:val="00874CB2"/>
    <w:rsid w:val="00875D57"/>
    <w:rsid w:val="00876E57"/>
    <w:rsid w:val="00877931"/>
    <w:rsid w:val="00877F1E"/>
    <w:rsid w:val="00882FDE"/>
    <w:rsid w:val="008833AD"/>
    <w:rsid w:val="008842C4"/>
    <w:rsid w:val="00884F69"/>
    <w:rsid w:val="0088586F"/>
    <w:rsid w:val="00887154"/>
    <w:rsid w:val="008871B1"/>
    <w:rsid w:val="00887EC6"/>
    <w:rsid w:val="00890ADE"/>
    <w:rsid w:val="00890CFE"/>
    <w:rsid w:val="00890EBF"/>
    <w:rsid w:val="0089797E"/>
    <w:rsid w:val="008A5C51"/>
    <w:rsid w:val="008B291B"/>
    <w:rsid w:val="008B4AC3"/>
    <w:rsid w:val="008B4E4E"/>
    <w:rsid w:val="008B5862"/>
    <w:rsid w:val="008B5BB7"/>
    <w:rsid w:val="008B60A0"/>
    <w:rsid w:val="008C2174"/>
    <w:rsid w:val="008C3E32"/>
    <w:rsid w:val="008C408D"/>
    <w:rsid w:val="008C62B0"/>
    <w:rsid w:val="008D07F7"/>
    <w:rsid w:val="008D0E13"/>
    <w:rsid w:val="008D1E62"/>
    <w:rsid w:val="008D24A5"/>
    <w:rsid w:val="008D2D99"/>
    <w:rsid w:val="008D628D"/>
    <w:rsid w:val="008E05B4"/>
    <w:rsid w:val="008E1018"/>
    <w:rsid w:val="008E25EA"/>
    <w:rsid w:val="008E5F7E"/>
    <w:rsid w:val="008E72D4"/>
    <w:rsid w:val="008E76D1"/>
    <w:rsid w:val="008F25B5"/>
    <w:rsid w:val="008F57B9"/>
    <w:rsid w:val="008F76F0"/>
    <w:rsid w:val="008F7C2D"/>
    <w:rsid w:val="00900716"/>
    <w:rsid w:val="0090131A"/>
    <w:rsid w:val="0090264A"/>
    <w:rsid w:val="00904AC4"/>
    <w:rsid w:val="00905FE0"/>
    <w:rsid w:val="00907910"/>
    <w:rsid w:val="00910F1A"/>
    <w:rsid w:val="009119FD"/>
    <w:rsid w:val="00911E26"/>
    <w:rsid w:val="009140F5"/>
    <w:rsid w:val="0091545E"/>
    <w:rsid w:val="0091729F"/>
    <w:rsid w:val="00917B44"/>
    <w:rsid w:val="009330A9"/>
    <w:rsid w:val="00937DF0"/>
    <w:rsid w:val="00940D0F"/>
    <w:rsid w:val="00941CBC"/>
    <w:rsid w:val="00942F97"/>
    <w:rsid w:val="009502FB"/>
    <w:rsid w:val="00950D37"/>
    <w:rsid w:val="0095292E"/>
    <w:rsid w:val="00954B12"/>
    <w:rsid w:val="009550D2"/>
    <w:rsid w:val="009552C2"/>
    <w:rsid w:val="009559C6"/>
    <w:rsid w:val="00957938"/>
    <w:rsid w:val="0096163F"/>
    <w:rsid w:val="0096215E"/>
    <w:rsid w:val="00963B0D"/>
    <w:rsid w:val="00963F8B"/>
    <w:rsid w:val="00964736"/>
    <w:rsid w:val="00970A43"/>
    <w:rsid w:val="009729C5"/>
    <w:rsid w:val="009735A0"/>
    <w:rsid w:val="00975528"/>
    <w:rsid w:val="00977271"/>
    <w:rsid w:val="00982AF4"/>
    <w:rsid w:val="00983072"/>
    <w:rsid w:val="00984397"/>
    <w:rsid w:val="00991D77"/>
    <w:rsid w:val="00993548"/>
    <w:rsid w:val="00993B55"/>
    <w:rsid w:val="009A0DDC"/>
    <w:rsid w:val="009A116D"/>
    <w:rsid w:val="009A5075"/>
    <w:rsid w:val="009A614C"/>
    <w:rsid w:val="009A7BD2"/>
    <w:rsid w:val="009B06A0"/>
    <w:rsid w:val="009B20AD"/>
    <w:rsid w:val="009B23A7"/>
    <w:rsid w:val="009B34F9"/>
    <w:rsid w:val="009B4E94"/>
    <w:rsid w:val="009B5302"/>
    <w:rsid w:val="009B5A73"/>
    <w:rsid w:val="009B6DE7"/>
    <w:rsid w:val="009C6F2A"/>
    <w:rsid w:val="009C7B72"/>
    <w:rsid w:val="009D617E"/>
    <w:rsid w:val="009D7BB3"/>
    <w:rsid w:val="009E0150"/>
    <w:rsid w:val="009E1018"/>
    <w:rsid w:val="009E14DF"/>
    <w:rsid w:val="009E372E"/>
    <w:rsid w:val="009F066F"/>
    <w:rsid w:val="009F58D2"/>
    <w:rsid w:val="009F5DA3"/>
    <w:rsid w:val="009F630A"/>
    <w:rsid w:val="00A004CD"/>
    <w:rsid w:val="00A01829"/>
    <w:rsid w:val="00A01DB7"/>
    <w:rsid w:val="00A048C1"/>
    <w:rsid w:val="00A04A4D"/>
    <w:rsid w:val="00A1052B"/>
    <w:rsid w:val="00A1149B"/>
    <w:rsid w:val="00A1699C"/>
    <w:rsid w:val="00A17BA6"/>
    <w:rsid w:val="00A21C4D"/>
    <w:rsid w:val="00A23335"/>
    <w:rsid w:val="00A244BF"/>
    <w:rsid w:val="00A25C3A"/>
    <w:rsid w:val="00A27902"/>
    <w:rsid w:val="00A33C45"/>
    <w:rsid w:val="00A33F1E"/>
    <w:rsid w:val="00A34A54"/>
    <w:rsid w:val="00A3597E"/>
    <w:rsid w:val="00A40824"/>
    <w:rsid w:val="00A40BFB"/>
    <w:rsid w:val="00A46804"/>
    <w:rsid w:val="00A46CFD"/>
    <w:rsid w:val="00A476BC"/>
    <w:rsid w:val="00A52DDE"/>
    <w:rsid w:val="00A542E8"/>
    <w:rsid w:val="00A5487F"/>
    <w:rsid w:val="00A568DD"/>
    <w:rsid w:val="00A56C8B"/>
    <w:rsid w:val="00A5749E"/>
    <w:rsid w:val="00A57D25"/>
    <w:rsid w:val="00A60881"/>
    <w:rsid w:val="00A626EF"/>
    <w:rsid w:val="00A65745"/>
    <w:rsid w:val="00A73278"/>
    <w:rsid w:val="00A73D23"/>
    <w:rsid w:val="00A7771F"/>
    <w:rsid w:val="00A77CC9"/>
    <w:rsid w:val="00A8025A"/>
    <w:rsid w:val="00A81A2C"/>
    <w:rsid w:val="00A828CA"/>
    <w:rsid w:val="00A830AB"/>
    <w:rsid w:val="00A840F9"/>
    <w:rsid w:val="00A84C6F"/>
    <w:rsid w:val="00A86054"/>
    <w:rsid w:val="00A90E10"/>
    <w:rsid w:val="00A91852"/>
    <w:rsid w:val="00A937D1"/>
    <w:rsid w:val="00A94134"/>
    <w:rsid w:val="00A94D7B"/>
    <w:rsid w:val="00A95171"/>
    <w:rsid w:val="00A952E3"/>
    <w:rsid w:val="00AA1E91"/>
    <w:rsid w:val="00AA2D90"/>
    <w:rsid w:val="00AB32B9"/>
    <w:rsid w:val="00AB4942"/>
    <w:rsid w:val="00AB558C"/>
    <w:rsid w:val="00AB5815"/>
    <w:rsid w:val="00AC06CB"/>
    <w:rsid w:val="00AC41A7"/>
    <w:rsid w:val="00AC4336"/>
    <w:rsid w:val="00AC54FA"/>
    <w:rsid w:val="00AC6BB6"/>
    <w:rsid w:val="00AC74F2"/>
    <w:rsid w:val="00AC7FFC"/>
    <w:rsid w:val="00AD156D"/>
    <w:rsid w:val="00AD1EDD"/>
    <w:rsid w:val="00AD4635"/>
    <w:rsid w:val="00AD5C23"/>
    <w:rsid w:val="00AD606B"/>
    <w:rsid w:val="00AD6E66"/>
    <w:rsid w:val="00AF0F0C"/>
    <w:rsid w:val="00AF51DD"/>
    <w:rsid w:val="00B0004D"/>
    <w:rsid w:val="00B00E3F"/>
    <w:rsid w:val="00B04A10"/>
    <w:rsid w:val="00B05652"/>
    <w:rsid w:val="00B06C3F"/>
    <w:rsid w:val="00B11058"/>
    <w:rsid w:val="00B113B2"/>
    <w:rsid w:val="00B12EF7"/>
    <w:rsid w:val="00B14AE6"/>
    <w:rsid w:val="00B1513F"/>
    <w:rsid w:val="00B152F1"/>
    <w:rsid w:val="00B15727"/>
    <w:rsid w:val="00B15995"/>
    <w:rsid w:val="00B167B0"/>
    <w:rsid w:val="00B17BC8"/>
    <w:rsid w:val="00B22A5A"/>
    <w:rsid w:val="00B2370B"/>
    <w:rsid w:val="00B249C4"/>
    <w:rsid w:val="00B25D46"/>
    <w:rsid w:val="00B308E2"/>
    <w:rsid w:val="00B31E29"/>
    <w:rsid w:val="00B34590"/>
    <w:rsid w:val="00B36F29"/>
    <w:rsid w:val="00B43DE0"/>
    <w:rsid w:val="00B44F76"/>
    <w:rsid w:val="00B466AC"/>
    <w:rsid w:val="00B46C5B"/>
    <w:rsid w:val="00B4798E"/>
    <w:rsid w:val="00B47BF3"/>
    <w:rsid w:val="00B56B11"/>
    <w:rsid w:val="00B56C15"/>
    <w:rsid w:val="00B62FF7"/>
    <w:rsid w:val="00B64D01"/>
    <w:rsid w:val="00B66CB8"/>
    <w:rsid w:val="00B70456"/>
    <w:rsid w:val="00B74F66"/>
    <w:rsid w:val="00B7618A"/>
    <w:rsid w:val="00B77A62"/>
    <w:rsid w:val="00B80D14"/>
    <w:rsid w:val="00B81E53"/>
    <w:rsid w:val="00B848F6"/>
    <w:rsid w:val="00B92460"/>
    <w:rsid w:val="00B92787"/>
    <w:rsid w:val="00B930D9"/>
    <w:rsid w:val="00B94AEC"/>
    <w:rsid w:val="00B95F8C"/>
    <w:rsid w:val="00B96769"/>
    <w:rsid w:val="00B9756D"/>
    <w:rsid w:val="00BA3FCF"/>
    <w:rsid w:val="00BA433D"/>
    <w:rsid w:val="00BA4964"/>
    <w:rsid w:val="00BA50EB"/>
    <w:rsid w:val="00BB04C7"/>
    <w:rsid w:val="00BB2C85"/>
    <w:rsid w:val="00BB3CF5"/>
    <w:rsid w:val="00BB5260"/>
    <w:rsid w:val="00BB70C0"/>
    <w:rsid w:val="00BC2CD5"/>
    <w:rsid w:val="00BC3B66"/>
    <w:rsid w:val="00BD2B57"/>
    <w:rsid w:val="00BD4168"/>
    <w:rsid w:val="00BE069F"/>
    <w:rsid w:val="00BE07C5"/>
    <w:rsid w:val="00BE18DF"/>
    <w:rsid w:val="00BE2FA6"/>
    <w:rsid w:val="00BE343F"/>
    <w:rsid w:val="00BE45C5"/>
    <w:rsid w:val="00BE515D"/>
    <w:rsid w:val="00BF00F7"/>
    <w:rsid w:val="00BF0E4E"/>
    <w:rsid w:val="00BF1031"/>
    <w:rsid w:val="00BF19B9"/>
    <w:rsid w:val="00BF2E6F"/>
    <w:rsid w:val="00BF3AA2"/>
    <w:rsid w:val="00BF446B"/>
    <w:rsid w:val="00BF52E5"/>
    <w:rsid w:val="00BF65A2"/>
    <w:rsid w:val="00C00695"/>
    <w:rsid w:val="00C00F49"/>
    <w:rsid w:val="00C0148D"/>
    <w:rsid w:val="00C01E95"/>
    <w:rsid w:val="00C022B2"/>
    <w:rsid w:val="00C02FAE"/>
    <w:rsid w:val="00C03673"/>
    <w:rsid w:val="00C05156"/>
    <w:rsid w:val="00C07BD9"/>
    <w:rsid w:val="00C12AA1"/>
    <w:rsid w:val="00C16174"/>
    <w:rsid w:val="00C16637"/>
    <w:rsid w:val="00C16AA5"/>
    <w:rsid w:val="00C17676"/>
    <w:rsid w:val="00C210F6"/>
    <w:rsid w:val="00C213B1"/>
    <w:rsid w:val="00C22169"/>
    <w:rsid w:val="00C22A74"/>
    <w:rsid w:val="00C2701C"/>
    <w:rsid w:val="00C27F8D"/>
    <w:rsid w:val="00C30B45"/>
    <w:rsid w:val="00C32ED3"/>
    <w:rsid w:val="00C342DF"/>
    <w:rsid w:val="00C35797"/>
    <w:rsid w:val="00C36599"/>
    <w:rsid w:val="00C40079"/>
    <w:rsid w:val="00C404F0"/>
    <w:rsid w:val="00C41152"/>
    <w:rsid w:val="00C4517D"/>
    <w:rsid w:val="00C45366"/>
    <w:rsid w:val="00C465BB"/>
    <w:rsid w:val="00C50B3B"/>
    <w:rsid w:val="00C513B1"/>
    <w:rsid w:val="00C5232D"/>
    <w:rsid w:val="00C54259"/>
    <w:rsid w:val="00C54B39"/>
    <w:rsid w:val="00C54D10"/>
    <w:rsid w:val="00C57243"/>
    <w:rsid w:val="00C57CCF"/>
    <w:rsid w:val="00C601D8"/>
    <w:rsid w:val="00C62D01"/>
    <w:rsid w:val="00C6301A"/>
    <w:rsid w:val="00C65056"/>
    <w:rsid w:val="00C6556D"/>
    <w:rsid w:val="00C71B6A"/>
    <w:rsid w:val="00C721CC"/>
    <w:rsid w:val="00C7261C"/>
    <w:rsid w:val="00C73978"/>
    <w:rsid w:val="00C74396"/>
    <w:rsid w:val="00C7442B"/>
    <w:rsid w:val="00C76495"/>
    <w:rsid w:val="00C77AE6"/>
    <w:rsid w:val="00C8152F"/>
    <w:rsid w:val="00C824AA"/>
    <w:rsid w:val="00C840AC"/>
    <w:rsid w:val="00C858CE"/>
    <w:rsid w:val="00C90665"/>
    <w:rsid w:val="00C92DBC"/>
    <w:rsid w:val="00C94B4A"/>
    <w:rsid w:val="00C94EAC"/>
    <w:rsid w:val="00CA2358"/>
    <w:rsid w:val="00CA4458"/>
    <w:rsid w:val="00CA4EB8"/>
    <w:rsid w:val="00CA6301"/>
    <w:rsid w:val="00CA70F4"/>
    <w:rsid w:val="00CB086C"/>
    <w:rsid w:val="00CB24A2"/>
    <w:rsid w:val="00CB2D57"/>
    <w:rsid w:val="00CB4096"/>
    <w:rsid w:val="00CB6291"/>
    <w:rsid w:val="00CB68F2"/>
    <w:rsid w:val="00CC29F5"/>
    <w:rsid w:val="00CC3BC8"/>
    <w:rsid w:val="00CC5DE4"/>
    <w:rsid w:val="00CC609E"/>
    <w:rsid w:val="00CD1491"/>
    <w:rsid w:val="00CD1BF8"/>
    <w:rsid w:val="00CD1C62"/>
    <w:rsid w:val="00CD6F84"/>
    <w:rsid w:val="00CE0E5C"/>
    <w:rsid w:val="00CE3316"/>
    <w:rsid w:val="00CE4764"/>
    <w:rsid w:val="00CE49B7"/>
    <w:rsid w:val="00CE698E"/>
    <w:rsid w:val="00CF29B9"/>
    <w:rsid w:val="00CF310C"/>
    <w:rsid w:val="00CF426A"/>
    <w:rsid w:val="00CF6D75"/>
    <w:rsid w:val="00CF6E79"/>
    <w:rsid w:val="00D00B01"/>
    <w:rsid w:val="00D04FA0"/>
    <w:rsid w:val="00D05EA8"/>
    <w:rsid w:val="00D10DD9"/>
    <w:rsid w:val="00D14CA0"/>
    <w:rsid w:val="00D14D08"/>
    <w:rsid w:val="00D14E0C"/>
    <w:rsid w:val="00D14EB5"/>
    <w:rsid w:val="00D1661E"/>
    <w:rsid w:val="00D16C21"/>
    <w:rsid w:val="00D20878"/>
    <w:rsid w:val="00D230E2"/>
    <w:rsid w:val="00D24CBD"/>
    <w:rsid w:val="00D24EF7"/>
    <w:rsid w:val="00D26091"/>
    <w:rsid w:val="00D26A15"/>
    <w:rsid w:val="00D36EF6"/>
    <w:rsid w:val="00D43D89"/>
    <w:rsid w:val="00D456F1"/>
    <w:rsid w:val="00D45A0C"/>
    <w:rsid w:val="00D47947"/>
    <w:rsid w:val="00D513D5"/>
    <w:rsid w:val="00D52A43"/>
    <w:rsid w:val="00D547CC"/>
    <w:rsid w:val="00D54A88"/>
    <w:rsid w:val="00D608DA"/>
    <w:rsid w:val="00D61686"/>
    <w:rsid w:val="00D65E84"/>
    <w:rsid w:val="00D664AF"/>
    <w:rsid w:val="00D66FA0"/>
    <w:rsid w:val="00D7499F"/>
    <w:rsid w:val="00D7663C"/>
    <w:rsid w:val="00D83099"/>
    <w:rsid w:val="00D8449F"/>
    <w:rsid w:val="00D85762"/>
    <w:rsid w:val="00D85FC1"/>
    <w:rsid w:val="00D8680A"/>
    <w:rsid w:val="00D92E88"/>
    <w:rsid w:val="00D94CC9"/>
    <w:rsid w:val="00D963C5"/>
    <w:rsid w:val="00D96875"/>
    <w:rsid w:val="00D977B5"/>
    <w:rsid w:val="00D97D45"/>
    <w:rsid w:val="00DA0CED"/>
    <w:rsid w:val="00DA6551"/>
    <w:rsid w:val="00DB0E18"/>
    <w:rsid w:val="00DB26D0"/>
    <w:rsid w:val="00DB2885"/>
    <w:rsid w:val="00DB6BC3"/>
    <w:rsid w:val="00DC0A05"/>
    <w:rsid w:val="00DC146F"/>
    <w:rsid w:val="00DC182F"/>
    <w:rsid w:val="00DC1896"/>
    <w:rsid w:val="00DC2D40"/>
    <w:rsid w:val="00DC5AA8"/>
    <w:rsid w:val="00DC6D90"/>
    <w:rsid w:val="00DD1A0F"/>
    <w:rsid w:val="00DD28D3"/>
    <w:rsid w:val="00DD451E"/>
    <w:rsid w:val="00DE20CF"/>
    <w:rsid w:val="00DE276B"/>
    <w:rsid w:val="00DE4288"/>
    <w:rsid w:val="00DE6C7C"/>
    <w:rsid w:val="00DE74DB"/>
    <w:rsid w:val="00DF2D7D"/>
    <w:rsid w:val="00DF4D2E"/>
    <w:rsid w:val="00DF5EBC"/>
    <w:rsid w:val="00DF7B76"/>
    <w:rsid w:val="00E02864"/>
    <w:rsid w:val="00E03E95"/>
    <w:rsid w:val="00E0632B"/>
    <w:rsid w:val="00E12743"/>
    <w:rsid w:val="00E1530E"/>
    <w:rsid w:val="00E15335"/>
    <w:rsid w:val="00E167AB"/>
    <w:rsid w:val="00E21BF9"/>
    <w:rsid w:val="00E2244F"/>
    <w:rsid w:val="00E23177"/>
    <w:rsid w:val="00E25003"/>
    <w:rsid w:val="00E252C6"/>
    <w:rsid w:val="00E33FCF"/>
    <w:rsid w:val="00E3450D"/>
    <w:rsid w:val="00E37A08"/>
    <w:rsid w:val="00E40D52"/>
    <w:rsid w:val="00E414F3"/>
    <w:rsid w:val="00E43570"/>
    <w:rsid w:val="00E46E1D"/>
    <w:rsid w:val="00E47242"/>
    <w:rsid w:val="00E47BFA"/>
    <w:rsid w:val="00E51B9E"/>
    <w:rsid w:val="00E55B54"/>
    <w:rsid w:val="00E57331"/>
    <w:rsid w:val="00E6247E"/>
    <w:rsid w:val="00E649F8"/>
    <w:rsid w:val="00E65DBA"/>
    <w:rsid w:val="00E769A9"/>
    <w:rsid w:val="00E84B8C"/>
    <w:rsid w:val="00E85110"/>
    <w:rsid w:val="00E8547C"/>
    <w:rsid w:val="00E86CAD"/>
    <w:rsid w:val="00E90EF5"/>
    <w:rsid w:val="00E92691"/>
    <w:rsid w:val="00EA033C"/>
    <w:rsid w:val="00EA21A6"/>
    <w:rsid w:val="00EA32A8"/>
    <w:rsid w:val="00EA7E24"/>
    <w:rsid w:val="00EB00F8"/>
    <w:rsid w:val="00EB3B25"/>
    <w:rsid w:val="00EB3D64"/>
    <w:rsid w:val="00EB56AE"/>
    <w:rsid w:val="00EB6B6B"/>
    <w:rsid w:val="00EC0982"/>
    <w:rsid w:val="00EC1CE3"/>
    <w:rsid w:val="00EC3589"/>
    <w:rsid w:val="00EC4B21"/>
    <w:rsid w:val="00EC512C"/>
    <w:rsid w:val="00EC51A3"/>
    <w:rsid w:val="00ED0E2D"/>
    <w:rsid w:val="00ED1CD4"/>
    <w:rsid w:val="00ED3E5A"/>
    <w:rsid w:val="00ED5DD1"/>
    <w:rsid w:val="00ED7933"/>
    <w:rsid w:val="00ED7C93"/>
    <w:rsid w:val="00EE29F9"/>
    <w:rsid w:val="00EE57A6"/>
    <w:rsid w:val="00EE692D"/>
    <w:rsid w:val="00EE786C"/>
    <w:rsid w:val="00EF0ED3"/>
    <w:rsid w:val="00EF0FE0"/>
    <w:rsid w:val="00EF1FF2"/>
    <w:rsid w:val="00EF43E3"/>
    <w:rsid w:val="00EF6B56"/>
    <w:rsid w:val="00EF6F78"/>
    <w:rsid w:val="00F079B0"/>
    <w:rsid w:val="00F11034"/>
    <w:rsid w:val="00F13B90"/>
    <w:rsid w:val="00F15FA9"/>
    <w:rsid w:val="00F165C2"/>
    <w:rsid w:val="00F168E1"/>
    <w:rsid w:val="00F17C3E"/>
    <w:rsid w:val="00F21B0C"/>
    <w:rsid w:val="00F232C0"/>
    <w:rsid w:val="00F25BA2"/>
    <w:rsid w:val="00F25F67"/>
    <w:rsid w:val="00F31A0D"/>
    <w:rsid w:val="00F336AB"/>
    <w:rsid w:val="00F41CA7"/>
    <w:rsid w:val="00F41CB0"/>
    <w:rsid w:val="00F45125"/>
    <w:rsid w:val="00F45F2A"/>
    <w:rsid w:val="00F50BE6"/>
    <w:rsid w:val="00F51563"/>
    <w:rsid w:val="00F56B7F"/>
    <w:rsid w:val="00F603A5"/>
    <w:rsid w:val="00F63DC2"/>
    <w:rsid w:val="00F63EFD"/>
    <w:rsid w:val="00F6502C"/>
    <w:rsid w:val="00F7044F"/>
    <w:rsid w:val="00F7072E"/>
    <w:rsid w:val="00F70AC6"/>
    <w:rsid w:val="00F74004"/>
    <w:rsid w:val="00F74873"/>
    <w:rsid w:val="00F82BCC"/>
    <w:rsid w:val="00F848DF"/>
    <w:rsid w:val="00F91A72"/>
    <w:rsid w:val="00F92750"/>
    <w:rsid w:val="00F945B0"/>
    <w:rsid w:val="00F9465E"/>
    <w:rsid w:val="00F94A73"/>
    <w:rsid w:val="00F95FA4"/>
    <w:rsid w:val="00F97050"/>
    <w:rsid w:val="00F97453"/>
    <w:rsid w:val="00F97CCB"/>
    <w:rsid w:val="00F97EBD"/>
    <w:rsid w:val="00FA088C"/>
    <w:rsid w:val="00FA56A6"/>
    <w:rsid w:val="00FB055D"/>
    <w:rsid w:val="00FB2784"/>
    <w:rsid w:val="00FB2890"/>
    <w:rsid w:val="00FB7EA9"/>
    <w:rsid w:val="00FC0CDE"/>
    <w:rsid w:val="00FC1637"/>
    <w:rsid w:val="00FC1FB5"/>
    <w:rsid w:val="00FC22B7"/>
    <w:rsid w:val="00FC233F"/>
    <w:rsid w:val="00FC243A"/>
    <w:rsid w:val="00FC2891"/>
    <w:rsid w:val="00FC3DCB"/>
    <w:rsid w:val="00FC5F1E"/>
    <w:rsid w:val="00FC61D5"/>
    <w:rsid w:val="00FC7FCF"/>
    <w:rsid w:val="00FD3549"/>
    <w:rsid w:val="00FD379D"/>
    <w:rsid w:val="00FD573E"/>
    <w:rsid w:val="00FD5BE0"/>
    <w:rsid w:val="00FD604E"/>
    <w:rsid w:val="00FD6C72"/>
    <w:rsid w:val="00FD7E7E"/>
    <w:rsid w:val="00FE383A"/>
    <w:rsid w:val="00FE659F"/>
    <w:rsid w:val="00FF11A5"/>
    <w:rsid w:val="00FF608D"/>
    <w:rsid w:val="00FF7FA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1A5"/>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91729F"/>
    <w:pPr>
      <w:ind w:leftChars="2500" w:left="100"/>
    </w:pPr>
    <w:rPr>
      <w:kern w:val="0"/>
    </w:rPr>
  </w:style>
  <w:style w:type="character" w:customStyle="1" w:styleId="DateChar">
    <w:name w:val="Date Char"/>
    <w:basedOn w:val="DefaultParagraphFont"/>
    <w:link w:val="Date"/>
    <w:uiPriority w:val="99"/>
    <w:semiHidden/>
    <w:locked/>
    <w:rsid w:val="00867994"/>
    <w:rPr>
      <w:sz w:val="21"/>
      <w:szCs w:val="21"/>
    </w:rPr>
  </w:style>
  <w:style w:type="paragraph" w:customStyle="1" w:styleId="Char">
    <w:name w:val="Char"/>
    <w:basedOn w:val="Normal"/>
    <w:autoRedefine/>
    <w:uiPriority w:val="99"/>
    <w:rsid w:val="00386404"/>
    <w:pPr>
      <w:widowControl/>
      <w:spacing w:after="160" w:line="240" w:lineRule="exact"/>
      <w:jc w:val="left"/>
    </w:pPr>
    <w:rPr>
      <w:rFonts w:ascii="Verdana" w:eastAsia="仿宋_GB2312" w:hAnsi="Verdana" w:cs="Verdana"/>
      <w:kern w:val="0"/>
      <w:sz w:val="24"/>
      <w:szCs w:val="24"/>
      <w:lang w:eastAsia="en-US"/>
    </w:rPr>
  </w:style>
  <w:style w:type="paragraph" w:styleId="Header">
    <w:name w:val="header"/>
    <w:basedOn w:val="Normal"/>
    <w:link w:val="HeaderChar"/>
    <w:uiPriority w:val="99"/>
    <w:rsid w:val="008610C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610C0"/>
    <w:rPr>
      <w:kern w:val="2"/>
      <w:sz w:val="18"/>
      <w:szCs w:val="18"/>
    </w:rPr>
  </w:style>
  <w:style w:type="paragraph" w:styleId="Footer">
    <w:name w:val="footer"/>
    <w:basedOn w:val="Normal"/>
    <w:link w:val="FooterChar"/>
    <w:uiPriority w:val="99"/>
    <w:rsid w:val="008610C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610C0"/>
    <w:rPr>
      <w:kern w:val="2"/>
      <w:sz w:val="18"/>
      <w:szCs w:val="18"/>
    </w:rPr>
  </w:style>
  <w:style w:type="character" w:styleId="Hyperlink">
    <w:name w:val="Hyperlink"/>
    <w:basedOn w:val="DefaultParagraphFont"/>
    <w:uiPriority w:val="99"/>
    <w:rsid w:val="004770E9"/>
    <w:rPr>
      <w:color w:val="0000FF"/>
      <w:u w:val="single"/>
    </w:rPr>
  </w:style>
  <w:style w:type="table" w:styleId="TableGrid">
    <w:name w:val="Table Grid"/>
    <w:basedOn w:val="TableNormal"/>
    <w:uiPriority w:val="99"/>
    <w:locked/>
    <w:rsid w:val="00601B8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99"/>
    <w:qFormat/>
    <w:locked/>
    <w:rsid w:val="00292F0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lut.edu.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e.dlut.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xly_eedut@126.com" TargetMode="External"/><Relationship Id="rId4" Type="http://schemas.openxmlformats.org/officeDocument/2006/relationships/webSettings" Target="webSettings.xml"/><Relationship Id="rId9" Type="http://schemas.openxmlformats.org/officeDocument/2006/relationships/hyperlink" Target="mailto:xly_eedut@126.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476</Words>
  <Characters>2717</Characters>
  <Application>Microsoft Office Outlook</Application>
  <DocSecurity>0</DocSecurity>
  <Lines>0</Lines>
  <Paragraphs>0</Paragraphs>
  <ScaleCrop>false</ScaleCrop>
  <Company>sjtu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环境学院2011年研究生自主选拔招生改革方案</dc:title>
  <dc:subject/>
  <dc:creator>hsb</dc:creator>
  <cp:keywords/>
  <dc:description/>
  <cp:lastModifiedBy>Microsoft</cp:lastModifiedBy>
  <cp:revision>3</cp:revision>
  <cp:lastPrinted>2010-05-27T07:25:00Z</cp:lastPrinted>
  <dcterms:created xsi:type="dcterms:W3CDTF">2016-06-03T02:16:00Z</dcterms:created>
  <dcterms:modified xsi:type="dcterms:W3CDTF">2016-06-03T02:19:00Z</dcterms:modified>
</cp:coreProperties>
</file>