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0.png" ContentType="image/png"/>
  <Override PartName="/word/media/rId40.png" ContentType="image/png"/>
  <Override PartName="/word/media/rId87.png" ContentType="image/png"/>
  <Override PartName="/word/media/rId59.png" ContentType="image/png"/>
  <Override PartName="/word/media/rId67.png" ContentType="image/png"/>
  <Override PartName="/word/media/rId45.png" ContentType="image/png"/>
  <Override PartName="/word/media/rId91.png" ContentType="image/png"/>
  <Override PartName="/word/media/rId35.png" ContentType="image/png"/>
  <Override PartName="/word/media/rId79.png" ContentType="image/png"/>
  <Override PartName="/word/media/rId28.png" ContentType="image/png"/>
  <Override PartName="/word/media/rId83.png" ContentType="image/png"/>
  <Override PartName="/word/media/rId71.png" ContentType="image/png"/>
  <Override PartName="/word/media/rId75.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2026-09-12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(W. D. 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dynamics, such as repeated glacial-interglacial climatic fluctuations</w:t>
      </w:r>
      <w:r>
        <w:t xml:space="preserve"> </w:t>
      </w:r>
      <w:r>
        <w:t xml:space="preserve">(W. D. 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 [</w:t>
      </w:r>
      <w:r>
        <w:t xml:space="preserve">McCain and King (2014)</w:t>
      </w:r>
      <w:r>
        <w:t xml:space="preserve">;</w:t>
      </w:r>
      <w:r>
        <w:t xml:space="preserve"> </w:t>
      </w:r>
      <w:r>
        <w:t xml:space="preserve">Moretti and Legg (2009)</w:t>
      </w:r>
      <w:r>
        <w:t xml:space="preserve">;</w:t>
      </w:r>
      <w:r>
        <w:t xml:space="preserve"> </w:t>
      </w:r>
      <w:r>
        <w:t xml:space="preserve">(</w:t>
      </w:r>
      <w:r>
        <w:rPr>
          <w:b/>
          <w:bCs/>
        </w:rPr>
        <w:t xml:space="preserve">Kissl?</w:t>
      </w:r>
      <w:r>
        <w:t xml:space="preserve">)</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(W. D. 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92735"/>
                  <wp:effectExtent b="0" l="0" r="0" t="0"/>
                  <wp:docPr descr="" title="" id="21" name="Picture"/>
                  <a:graphic>
                    <a:graphicData uri="http://schemas.openxmlformats.org/drawingml/2006/picture">
                      <pic:pic>
                        <pic:nvPicPr>
                          <pic:cNvPr descr="images/clipboard-1021119434.png" id="22" name="Picture"/>
                          <pic:cNvPicPr>
                            <a:picLocks noChangeArrowheads="1" noChangeAspect="1"/>
                          </pic:cNvPicPr>
                        </pic:nvPicPr>
                        <pic:blipFill>
                          <a:blip r:embed="rId20"/>
                          <a:stretch>
                            <a:fillRect/>
                          </a:stretch>
                        </pic:blipFill>
                        <pic:spPr bwMode="auto">
                          <a:xfrm>
                            <a:off x="0" y="0"/>
                            <a:ext cx="5334000" cy="35927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(W. D. 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contemporary climate and the magnitude of past climate change across Neotropical biogeographic provinces. The contemporary climatic baseline was derived from the Climatologies at High Resolution for the Earth’s Land Surface Areas (CHELSA) dataset</w:t>
      </w:r>
      <w:r>
        <w:t xml:space="preserve"> </w:t>
      </w:r>
      <w:r>
        <w:t xml:space="preserve">(Karger et al. 2017)</w:t>
      </w:r>
      <w:r>
        <w:t xml:space="preserve">. For each bioclimatic variable, we calculated climatic anomalies as past minus contemporary conditions for the late Holocene (lh; 4.2–0.3 ka) and the Last Glacial Maximum (LGM; ~21 ka). These anomalies describe the direction and magnitude of climatic differences relative to the contemporary baseline. The LGM–present anomaly captures a major glacial-to-interglacial climatic transition and can therefore can approximate the climatic fluctuations that characterized much of the Quaternary, whereas the Late Holocene–present anomaly aproximates recent climatic variation within the current interglacial (</w:t>
      </w:r>
      <w:hyperlink w:anchor="fig-02">
        <w:r>
          <w:rPr>
            <w:rStyle w:val="Hyperlink"/>
          </w:rPr>
          <w:t xml:space="preserve">Figure 2</w:t>
        </w:r>
      </w:hyperlink>
      <w:r>
        <w:t xml:space="preserve">; Figure S1). Because the signs of PCA axes are arbitrary, PC1 and PC2 were oriented consistently among analyses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we fitted a Generalized Additive Model (GAM) containing penalized thin-plate regression splines for the first two axes of contemporary climate, Late Holocene–present climatic anomalies, and LGM–present climatic anomalies:</w:t>
      </w:r>
    </w:p>
    <w:p>
      <w:pPr>
        <w:pStyle w:val="BodyText"/>
      </w:pPr>
      <m:oMath>
        <m:r>
          <m:t>Y</m:t>
        </m:r>
        <m:r>
          <m:rPr>
            <m:sty m:val="p"/>
          </m:rPr>
          <m:t>=</m:t>
        </m:r>
        <m:r>
          <m:t>s</m:t>
        </m:r>
        <m:d>
          <m:dPr>
            <m:begChr m:val="("/>
            <m:endChr m:val=")"/>
            <m:sepChr m:val=""/>
            <m:grow/>
          </m:dPr>
          <m:e>
            <m:r>
              <m:t>P</m:t>
            </m:r>
            <m:r>
              <m:t>C</m:t>
            </m:r>
            <m:sSub>
              <m:e>
                <m:r>
                  <m:t>1</m:t>
                </m:r>
              </m:e>
              <m:sub>
                <m:r>
                  <m:t>c</m:t>
                </m:r>
                <m:r>
                  <m:t>u</m:t>
                </m:r>
                <m:r>
                  <m:t>r</m:t>
                </m:r>
              </m:sub>
            </m:sSub>
          </m:e>
        </m:d>
        <m:r>
          <m:rPr>
            <m:sty m:val="p"/>
          </m:rPr>
          <m:t>+</m:t>
        </m:r>
        <m:r>
          <m:t>s</m:t>
        </m:r>
        <m:d>
          <m:dPr>
            <m:begChr m:val="("/>
            <m:endChr m:val=")"/>
            <m:sepChr m:val=""/>
            <m:grow/>
          </m:dPr>
          <m:e>
            <m:r>
              <m:t>P</m:t>
            </m:r>
            <m:r>
              <m:t>C</m:t>
            </m:r>
            <m:sSub>
              <m:e>
                <m:r>
                  <m:t>2</m:t>
                </m:r>
              </m:e>
              <m:sub>
                <m:r>
                  <m:t>c</m:t>
                </m:r>
                <m:r>
                  <m:t>u</m:t>
                </m:r>
                <m:r>
                  <m:t>r</m:t>
                </m:r>
              </m:sub>
            </m:sSub>
          </m:e>
        </m:d>
        <m:r>
          <m:rPr>
            <m:sty m:val="p"/>
          </m:rPr>
          <m:t>+</m:t>
        </m:r>
        <m:r>
          <m:t>s</m:t>
        </m:r>
        <m:d>
          <m:dPr>
            <m:begChr m:val="("/>
            <m:endChr m:val=")"/>
            <m:sepChr m:val=""/>
            <m:grow/>
          </m:dPr>
          <m:e>
            <m:r>
              <m:t>P</m:t>
            </m:r>
            <m:r>
              <m:t>C</m:t>
            </m:r>
            <m:sSub>
              <m:e>
                <m:r>
                  <m:t>1</m:t>
                </m:r>
              </m:e>
              <m:sub>
                <m:r>
                  <m:t>l</m:t>
                </m:r>
                <m:r>
                  <m:t>h</m:t>
                </m:r>
                <m:r>
                  <m:rPr>
                    <m:sty m:val="p"/>
                  </m:rPr>
                  <m:t>−</m:t>
                </m:r>
                <m:r>
                  <m:t>a</m:t>
                </m:r>
              </m:sub>
            </m:sSub>
          </m:e>
        </m:d>
        <m:r>
          <m:rPr>
            <m:sty m:val="p"/>
          </m:rPr>
          <m:t>+</m:t>
        </m:r>
        <m:r>
          <m:t>s</m:t>
        </m:r>
        <m:d>
          <m:dPr>
            <m:begChr m:val="("/>
            <m:endChr m:val=")"/>
            <m:sepChr m:val=""/>
            <m:grow/>
          </m:dPr>
          <m:e>
            <m:r>
              <m:t>P</m:t>
            </m:r>
            <m:r>
              <m:t>C</m:t>
            </m:r>
            <m:sSub>
              <m:e>
                <m:r>
                  <m:t>2</m:t>
                </m:r>
              </m:e>
              <m:sub>
                <m:r>
                  <m:t>l</m:t>
                </m:r>
                <m:r>
                  <m:t>h</m:t>
                </m:r>
                <m:r>
                  <m:rPr>
                    <m:sty m:val="p"/>
                  </m:rPr>
                  <m:t>−</m:t>
                </m:r>
                <m:r>
                  <m:t>a</m:t>
                </m:r>
              </m:sub>
            </m:sSub>
          </m:e>
        </m:d>
        <m:r>
          <m:rPr>
            <m:sty m:val="p"/>
          </m:rPr>
          <m:t>+</m:t>
        </m:r>
        <m:r>
          <m:t>s</m:t>
        </m:r>
        <m:d>
          <m:dPr>
            <m:begChr m:val="("/>
            <m:endChr m:val=")"/>
            <m:sepChr m:val=""/>
            <m:grow/>
          </m:dPr>
          <m:e>
            <m:r>
              <m:t>P</m:t>
            </m:r>
            <m:r>
              <m:t>C</m:t>
            </m:r>
            <m:sSub>
              <m:e>
                <m:r>
                  <m:t>1</m:t>
                </m:r>
              </m:e>
              <m:sub>
                <m:r>
                  <m:t>l</m:t>
                </m:r>
                <m:r>
                  <m:t>g</m:t>
                </m:r>
                <m:r>
                  <m:t>m</m:t>
                </m:r>
                <m:r>
                  <m:rPr>
                    <m:sty m:val="p"/>
                  </m:rPr>
                  <m:t>−</m:t>
                </m:r>
                <m:r>
                  <m:t>a</m:t>
                </m:r>
              </m:sub>
            </m:sSub>
          </m:e>
        </m:d>
        <m:r>
          <m:rPr>
            <m:sty m:val="p"/>
          </m:rPr>
          <m:t>+</m:t>
        </m:r>
        <m:r>
          <m:t>s</m:t>
        </m:r>
        <m:d>
          <m:dPr>
            <m:begChr m:val="("/>
            <m:endChr m:val=")"/>
            <m:sepChr m:val=""/>
            <m:grow/>
          </m:dPr>
          <m:e>
            <m:r>
              <m:t>P</m:t>
            </m:r>
            <m:r>
              <m:t>C</m:t>
            </m:r>
            <m:sSub>
              <m:e>
                <m:r>
                  <m:t>2</m:t>
                </m:r>
              </m:e>
              <m:sub>
                <m:r>
                  <m:t>l</m:t>
                </m:r>
                <m:r>
                  <m:t>g</m:t>
                </m:r>
                <m:r>
                  <m:t>m</m:t>
                </m:r>
                <m:r>
                  <m:rPr>
                    <m:sty m:val="p"/>
                  </m:rPr>
                  <m:t>−</m:t>
                </m:r>
                <m:r>
                  <m:t>a</m:t>
                </m:r>
              </m:sub>
            </m:sSub>
          </m:e>
        </m:d>
      </m:oMath>
    </w:p>
    <w:p>
      <w:pPr>
        <w:pStyle w:val="BodyText"/>
      </w:pPr>
      <w:r>
        <w:t xml:space="preserve">where</w:t>
      </w:r>
      <w:r>
        <w:t xml:space="preserve"> </w:t>
      </w:r>
      <m:oMath>
        <m:r>
          <m:t>Y</m:t>
        </m:r>
      </m:oMath>
      <w:r>
        <w:t xml:space="preserve"> </w:t>
      </w:r>
      <w:r>
        <w:t xml:space="preserve">represents palm or mammal functional richness (FRic), functional dispersion (FDis), or their corresponding functional trophic asymmetry (FTA). Models were fitted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Climatic smooths were assigned a conservative basis dimension of</w:t>
      </w:r>
      <w:r>
        <w:t xml:space="preserve"> </w:t>
      </w:r>
      <m:oMath>
        <m:r>
          <m:t>k</m:t>
        </m:r>
        <m:r>
          <m:rPr>
            <m:sty m:val="p"/>
          </m:rPr>
          <m:t>=</m:t>
        </m:r>
        <m:r>
          <m:t>4</m:t>
        </m:r>
      </m:oMath>
      <w:r>
        <w:t xml:space="preserve">, and models were estimated by restricted maximum likelihood with shrinkage selection</w:t>
      </w:r>
      <w:r>
        <w:t xml:space="preserve"> </w:t>
      </w:r>
      <w:r>
        <w:t xml:space="preserve">(Wood and N 2017)</w:t>
      </w:r>
      <w:r>
        <w:t xml:space="preserve">. Tensor-product interactions among climatic predictors were not included. To evaluate whether climatic associations persisted after accounting for broad-scale spatial structure, we fitted spatial sensitivity models with the same climatic predictors plus a two-dimensional smooth of province-centroid longitude and latitude,</w:t>
      </w:r>
      <w:r>
        <w:t xml:space="preserve"> </w:t>
      </w:r>
      <m:oMath>
        <m:r>
          <m:rPr>
            <m:sty m:val="p"/>
          </m:rPr>
          <m:t>(</m:t>
        </m:r>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Climate-only and climate-plus-space models were compared using AIC, with positive differences indicating improved support after including spatial structure. Model adequacy was evaluated using residual-versus-fitted and normal Q–Q plots, together with basis-dimension diagnostics based on the</w:t>
      </w:r>
      <w:r>
        <w:t xml:space="preserve"> </w:t>
      </w:r>
      <m:oMath>
        <m:r>
          <m:t>k</m:t>
        </m:r>
        <m:r>
          <m:rPr>
            <m:sty m:val="p"/>
          </m:rPr>
          <m:t>−</m:t>
        </m:r>
        <m:r>
          <m:t>i</m:t>
        </m:r>
        <m:r>
          <m:t>n</m:t>
        </m:r>
        <m:r>
          <m:t>d</m:t>
        </m:r>
        <m:r>
          <m:t>e</m:t>
        </m:r>
        <m:r>
          <m:t>x</m:t>
        </m:r>
      </m:oMath>
      <w:r>
        <w:t xml:space="preserve"> </w:t>
      </w:r>
      <w:r>
        <w:t xml:space="preserve">(Figures S7–S8). Overall model performance was summarized using adjusted</w:t>
      </w:r>
      <w:r>
        <w:t xml:space="preserve"> </w:t>
      </w:r>
      <m:oMath>
        <m:sSup>
          <m:e>
            <m:r>
              <m:t>R</m:t>
            </m:r>
          </m:e>
          <m:sup>
            <m:r>
              <m:t>2</m:t>
            </m:r>
          </m:sup>
        </m:sSup>
      </m:oMath>
      <w:r>
        <w:t xml:space="preserve">.</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116809"/>
                  <wp:effectExtent b="0" l="0" r="0" t="0"/>
                  <wp:docPr descr="" title="" id="36" name="Picture"/>
                  <a:graphic>
                    <a:graphicData uri="http://schemas.openxmlformats.org/drawingml/2006/picture">
                      <pic:pic>
                        <pic:nvPicPr>
                          <pic:cNvPr descr="images/clipboard-3109051026.png" id="37" name="Picture"/>
                          <pic:cNvPicPr>
                            <a:picLocks noChangeArrowheads="1" noChangeAspect="1"/>
                          </pic:cNvPicPr>
                        </pic:nvPicPr>
                        <pic:blipFill>
                          <a:blip r:embed="rId35"/>
                          <a:stretch>
                            <a:fillRect/>
                          </a:stretch>
                        </pic:blipFill>
                        <pic:spPr bwMode="auto">
                          <a:xfrm>
                            <a:off x="0" y="0"/>
                            <a:ext cx="5334000" cy="41168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For palms, functional richness (FRic) showed no detectable association with the contemporary warm–humid-to-seasonal gradient (current PC1) (</w:t>
      </w:r>
      <w:hyperlink w:anchor="fig-04">
        <w:r>
          <w:rPr>
            <w:rStyle w:val="Hyperlink"/>
          </w:rPr>
          <w:t xml:space="preserve">Figure 4</w:t>
        </w:r>
      </w:hyperlink>
      <w:r>
        <w:t xml:space="preserve"> </w:t>
      </w:r>
      <w:r>
        <w:t xml:space="preserve">A; Table 1). Palm FRic showed only weak evidence of non-linear variation along the contemporary warm–dry-to-cool–wet gradient (current PC2) (</w:t>
      </w:r>
      <w:hyperlink w:anchor="fig-04">
        <w:r>
          <w:rPr>
            <w:rStyle w:val="Hyperlink"/>
          </w:rPr>
          <w:t xml:space="preserve">Figure 4</w:t>
        </w:r>
      </w:hyperlink>
      <w:r>
        <w:t xml:space="preserve"> </w:t>
      </w:r>
      <w:r>
        <w:t xml:space="preserve">B; Table 1). In contrast, palm FRic responded significantly and non-linearly to Late Holocene anomaly PC1, reaching lower values at intermediate negative scores and increasing toward warmer–drier anomalies. No significant relationship was detected with Late Holocene anomaly PC2 (Figure S5 C–D; Table 1). Palm FRic also showed no detectable response to LGM anomaly PC1 or LGM anomaly PC2 (Figure S5 E–F; Table 1). Palm functional dispersion (FDis) showed no detectable association with the contemporary warm–humid-to-seasonal gradient (current PC1) (</w:t>
      </w:r>
      <w:hyperlink w:anchor="fig-04">
        <w:r>
          <w:rPr>
            <w:rStyle w:val="Hyperlink"/>
          </w:rPr>
          <w:t xml:space="preserve">Figure 4</w:t>
        </w:r>
      </w:hyperlink>
      <w:r>
        <w:t xml:space="preserve"> </w:t>
      </w:r>
      <w:r>
        <w:t xml:space="preserve">C; Table 1) and only weak evidence of non-linear variation along the warm–dry-to-cool–wet gradient (current PC2) (</w:t>
      </w:r>
      <w:hyperlink w:anchor="fig-04">
        <w:r>
          <w:rPr>
            <w:rStyle w:val="Hyperlink"/>
          </w:rPr>
          <w:t xml:space="preserve">Figure 4</w:t>
        </w:r>
      </w:hyperlink>
      <w:r>
        <w:t xml:space="preserve"> </w:t>
      </w:r>
      <w:r>
        <w:t xml:space="preserve">D; Table 1). In contrast, palm FDis responded significantly and non-linearly to Late Holocene anomaly PC1 (Figure S6 C; Table 1). No relationships were detected with Late Holocene anomaly PC2 or either LGM anomaly axis (Figure S6 D–F; Table 1).</w:t>
      </w:r>
    </w:p>
    <w:p>
      <w:pPr>
        <w:pStyle w:val="BodyText"/>
      </w:pPr>
      <w:r>
        <w:t xml:space="preserve">For mammals, FRic declined significantly from contemporary warm–humid toward highly seasonal climates (current PC1) (</w:t>
      </w:r>
      <w:hyperlink w:anchor="fig-04">
        <w:r>
          <w:rPr>
            <w:rStyle w:val="Hyperlink"/>
          </w:rPr>
          <w:t xml:space="preserve">Figure 4</w:t>
        </w:r>
      </w:hyperlink>
      <w:r>
        <w:t xml:space="preserve"> </w:t>
      </w:r>
      <w:r>
        <w:t xml:space="preserve">A; Table 1). Mammal FRic also varied significantly and non-linearly along the warm–dry-to-cool–wet gradient (current PC2), declining toward cooler–wetter conditions after a modest maximum at relatively low PC2 scores (</w:t>
      </w:r>
      <w:hyperlink w:anchor="fig-04">
        <w:r>
          <w:rPr>
            <w:rStyle w:val="Hyperlink"/>
          </w:rPr>
          <w:t xml:space="preserve">Figure 4</w:t>
        </w:r>
      </w:hyperlink>
      <w:r>
        <w:t xml:space="preserve"> </w:t>
      </w:r>
      <w:r>
        <w:t xml:space="preserve">B; Table 1). Mammal FRic increased significantly from cooler–wetter toward warmer–drier Late Holocene anomalies (Late Holocene anomaly PC1), whereas no significant relationship was detected with Late Holocene anomaly PC2 (Figure S5 C–D; Table 1). Neither LGM anomaly PC1 nor LGM anomaly PC2 showed a significant association with mammal FRic (Figure S5 E–F; Table 1). Mammal FDis declined markedly from contemporary warm–humid toward highly seasonal climates (current PC1) (</w:t>
      </w:r>
      <w:hyperlink w:anchor="fig-04">
        <w:r>
          <w:rPr>
            <w:rStyle w:val="Hyperlink"/>
          </w:rPr>
          <w:t xml:space="preserve">Figure 4</w:t>
        </w:r>
      </w:hyperlink>
      <w:r>
        <w:t xml:space="preserve"> </w:t>
      </w:r>
      <w:r>
        <w:t xml:space="preserve">C; Table 1) and varied significantly and non-linearly along the contemporary warm–dry-to-cool–wet gradient (current PC2) (</w:t>
      </w:r>
      <w:hyperlink w:anchor="fig-04">
        <w:r>
          <w:rPr>
            <w:rStyle w:val="Hyperlink"/>
          </w:rPr>
          <w:t xml:space="preserve">Figure 4</w:t>
        </w:r>
      </w:hyperlink>
      <w:r>
        <w:t xml:space="preserve"> </w:t>
      </w:r>
      <w:r>
        <w:t xml:space="preserve">D; Table 1). It also increased significantly along Late Holocene anomaly PC1 before levelling off (Figure S6 C; Table 1). No relationships were detected with Late Holocene anomaly PC2 or either LGM anomaly axis (Figure S6 D–F; Table 1).</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116809"/>
                  <wp:effectExtent b="0" l="0" r="0" t="0"/>
                  <wp:docPr descr="" title="" id="41" name="Picture"/>
                  <a:graphic>
                    <a:graphicData uri="http://schemas.openxmlformats.org/drawingml/2006/picture">
                      <pic:pic>
                        <pic:nvPicPr>
                          <pic:cNvPr descr="images/clipboard-1039118348.png" id="42" name="Picture"/>
                          <pic:cNvPicPr>
                            <a:picLocks noChangeArrowheads="1" noChangeAspect="1"/>
                          </pic:cNvPicPr>
                        </pic:nvPicPr>
                        <pic:blipFill>
                          <a:blip r:embed="rId40"/>
                          <a:stretch>
                            <a:fillRect/>
                          </a:stretch>
                        </pic:blipFill>
                        <pic:spPr bwMode="auto">
                          <a:xfrm>
                            <a:off x="0" y="0"/>
                            <a:ext cx="5334000" cy="41168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FTA–FRic showed no significant associations with the contemporary climate gradients (current PC1 and PC2) or the two Late Holocene–present anomaly gradients (Late Holocene anomaly PC1 and PC2), although the fitted smooths suggested a decline along current PC1 and a unimodal response along Late Holocene anomaly PC1 (</w:t>
      </w:r>
      <w:hyperlink w:anchor="fig-05">
        <w:r>
          <w:rPr>
            <w:rStyle w:val="Hyperlink"/>
          </w:rPr>
          <w:t xml:space="preserve">Figure 5</w:t>
        </w:r>
      </w:hyperlink>
      <w:r>
        <w:t xml:space="preserve"> </w:t>
      </w:r>
      <w:r>
        <w:t xml:space="preserve">A–B, D–E; Table 1). A weak unimodal relationship was also estimated along LGM anomaly PC1, but this effect was not statistically significant. FTA–FRic showed no detectable response to LGM anomaly PC2 (</w:t>
      </w:r>
      <w:hyperlink w:anchor="fig-05">
        <w:r>
          <w:rPr>
            <w:rStyle w:val="Hyperlink"/>
          </w:rPr>
          <w:t xml:space="preserve">Figure 5</w:t>
        </w:r>
      </w:hyperlink>
      <w:r>
        <w:t xml:space="preserve"> </w:t>
      </w:r>
      <w:r>
        <w:t xml:space="preserve">C, F; Table 1). Climate was more clearly associated with FTA–FDis, which declined significantly and non-linearly from contemporary warm–humid toward more seasonal climates (current PC1) and showed a significant unimodal response along Late Holocene anomaly PC1(</w:t>
      </w:r>
      <w:hyperlink w:anchor="fig-05">
        <w:r>
          <w:rPr>
            <w:rStyle w:val="Hyperlink"/>
          </w:rPr>
          <w:t xml:space="preserve">Figure 5</w:t>
        </w:r>
      </w:hyperlink>
      <w:r>
        <w:t xml:space="preserve"> </w:t>
      </w:r>
      <w:r>
        <w:t xml:space="preserve">A–B; Table 1). FTA–FDis showed no significant association with current PC2, Late Holocene anomaly PC2, or either LGM anomaly axis(</w:t>
      </w:r>
      <w:hyperlink w:anchor="fig-05">
        <w:r>
          <w:rPr>
            <w:rStyle w:val="Hyperlink"/>
          </w:rPr>
          <w:t xml:space="preserve">Figure 5</w:t>
        </w:r>
      </w:hyperlink>
      <w:r>
        <w:t xml:space="preserve"> </w:t>
      </w:r>
      <w:r>
        <w:t xml:space="preserve">C–F; Table 1). Basis-dimension diagnostics indicated that all climatic smooths had adequate flexibility (Figure S8).</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314700"/>
                  <wp:effectExtent b="0" l="0" r="0" t="0"/>
                  <wp:docPr descr="" title="" id="46" name="Picture"/>
                  <a:graphic>
                    <a:graphicData uri="http://schemas.openxmlformats.org/drawingml/2006/picture">
                      <pic:pic>
                        <pic:nvPicPr>
                          <pic:cNvPr descr="images/clipboard-2195026792.png" id="47" name="Picture"/>
                          <pic:cNvPicPr>
                            <a:picLocks noChangeArrowheads="1" noChangeAspect="1"/>
                          </pic:cNvPicPr>
                        </pic:nvPicPr>
                        <pic:blipFill>
                          <a:blip r:embed="rId45"/>
                          <a:stretch>
                            <a:fillRect/>
                          </a:stretch>
                        </pic:blipFill>
                        <pic:spPr bwMode="auto">
                          <a:xfrm>
                            <a:off x="0" y="0"/>
                            <a:ext cx="5334000" cy="3314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Climate axis</w:t>
                  </w:r>
                </w:p>
              </w:tc>
              <w:tc>
                <w:tcPr/>
                <w:p>
                  <w:pPr>
                    <w:pStyle w:val="Compact"/>
                  </w:pPr>
                  <w:r>
                    <w:t xml:space="preserve">Palm FRic</w:t>
                  </w:r>
                </w:p>
              </w:tc>
              <w:tc>
                <w:tcPr/>
                <w:p>
                  <w:pPr>
                    <w:pStyle w:val="Compact"/>
                  </w:pPr>
                  <w:r>
                    <w:t xml:space="preserve">Palm FDis</w:t>
                  </w:r>
                </w:p>
              </w:tc>
              <w:tc>
                <w:tcPr/>
                <w:p>
                  <w:pPr>
                    <w:pStyle w:val="Compact"/>
                  </w:pPr>
                  <w:r>
                    <w:t xml:space="preserve">Mammal FRic</w:t>
                  </w:r>
                </w:p>
              </w:tc>
              <w:tc>
                <w:tcPr/>
                <w:p>
                  <w:pPr>
                    <w:pStyle w:val="Compact"/>
                  </w:pPr>
                  <w:r>
                    <w:t xml:space="preserve">Mammal FDis</w:t>
                  </w:r>
                </w:p>
              </w:tc>
              <w:tc>
                <w:tcPr/>
                <w:p>
                  <w:pPr>
                    <w:pStyle w:val="Compact"/>
                  </w:pPr>
                  <w:r>
                    <w:t xml:space="preserve">FTA FRic</w:t>
                  </w:r>
                </w:p>
              </w:tc>
              <w:tc>
                <w:tcPr/>
                <w:p>
                  <w:pPr>
                    <w:pStyle w:val="Compact"/>
                  </w:pPr>
                  <w:r>
                    <w:t xml:space="preserve">FTA FDis</w:t>
                  </w:r>
                </w:p>
              </w:tc>
            </w:tr>
            <w:tr>
              <w:tc>
                <w:tcPr/>
                <w:p>
                  <w:pPr>
                    <w:pStyle w:val="Compact"/>
                  </w:pPr>
                  <w:r>
                    <w:t xml:space="preserve">Current PC1</w:t>
                  </w:r>
                </w:p>
              </w:tc>
              <w:tc>
                <w:tcPr/>
                <w:p>
                  <w:pPr>
                    <w:pStyle w:val="Compact"/>
                  </w:pPr>
                  <w:r>
                    <w:t xml:space="preserve">0.00 (0.00)</w:t>
                  </w:r>
                </w:p>
              </w:tc>
              <w:tc>
                <w:tcPr/>
                <w:p>
                  <w:pPr>
                    <w:pStyle w:val="Compact"/>
                  </w:pPr>
                  <w:r>
                    <w:t xml:space="preserve">0.15 (0.35)</w:t>
                  </w:r>
                </w:p>
              </w:tc>
              <w:tc>
                <w:tcPr/>
                <w:p>
                  <w:pPr>
                    <w:pStyle w:val="Compact"/>
                  </w:pPr>
                  <w:r>
                    <w:rPr>
                      <w:b/>
                      <w:bCs/>
                    </w:rPr>
                    <w:t xml:space="preserve">1.79 (0.84)*</w:t>
                  </w:r>
                </w:p>
              </w:tc>
              <w:tc>
                <w:tcPr/>
                <w:p>
                  <w:pPr>
                    <w:pStyle w:val="Compact"/>
                  </w:pPr>
                  <w:r>
                    <w:rPr>
                      <w:b/>
                      <w:bCs/>
                    </w:rPr>
                    <w:t xml:space="preserve">4.19 (0.93)***</w:t>
                  </w:r>
                </w:p>
              </w:tc>
              <w:tc>
                <w:tcPr/>
                <w:p>
                  <w:pPr>
                    <w:pStyle w:val="Compact"/>
                  </w:pPr>
                  <w:r>
                    <w:t xml:space="preserve">0.39 (0.54)</w:t>
                  </w:r>
                </w:p>
              </w:tc>
              <w:tc>
                <w:tcPr/>
                <w:p>
                  <w:pPr>
                    <w:pStyle w:val="Compact"/>
                  </w:pPr>
                  <w:r>
                    <w:rPr>
                      <w:b/>
                      <w:bCs/>
                    </w:rPr>
                    <w:t xml:space="preserve">5.07 (1.65)***</w:t>
                  </w:r>
                </w:p>
              </w:tc>
            </w:tr>
            <w:tr>
              <w:tc>
                <w:tcPr/>
                <w:p>
                  <w:pPr>
                    <w:pStyle w:val="Compact"/>
                  </w:pPr>
                  <w:r>
                    <w:t xml:space="preserve">Current PC2</w:t>
                  </w:r>
                </w:p>
              </w:tc>
              <w:tc>
                <w:tcPr/>
                <w:p>
                  <w:pPr>
                    <w:pStyle w:val="Compact"/>
                  </w:pPr>
                  <w:r>
                    <w:t xml:space="preserve">1.12 (1.32)·</w:t>
                  </w:r>
                </w:p>
              </w:tc>
              <w:tc>
                <w:tcPr/>
                <w:p>
                  <w:pPr>
                    <w:pStyle w:val="Compact"/>
                  </w:pPr>
                  <w:r>
                    <w:t xml:space="preserve">1.05 (1.15)·</w:t>
                  </w:r>
                </w:p>
              </w:tc>
              <w:tc>
                <w:tcPr/>
                <w:p>
                  <w:pPr>
                    <w:pStyle w:val="Compact"/>
                  </w:pPr>
                  <w:r>
                    <w:rPr>
                      <w:b/>
                      <w:bCs/>
                    </w:rPr>
                    <w:t xml:space="preserve">2.95 (1.54)**</w:t>
                  </w:r>
                </w:p>
              </w:tc>
              <w:tc>
                <w:tcPr/>
                <w:p>
                  <w:pPr>
                    <w:pStyle w:val="Compact"/>
                  </w:pPr>
                  <w:r>
                    <w:rPr>
                      <w:b/>
                      <w:bCs/>
                    </w:rPr>
                    <w:t xml:space="preserve">3.01 (1.54)**</w:t>
                  </w:r>
                </w:p>
              </w:tc>
              <w:tc>
                <w:tcPr/>
                <w:p>
                  <w:pPr>
                    <w:pStyle w:val="Compact"/>
                  </w:pPr>
                  <w:r>
                    <w:t xml:space="preserve">0.00 (0.00)</w:t>
                  </w:r>
                </w:p>
              </w:tc>
              <w:tc>
                <w:tcPr/>
                <w:p>
                  <w:pPr>
                    <w:pStyle w:val="Compact"/>
                  </w:pPr>
                  <w:r>
                    <w:t xml:space="preserve">0.12 (0.27)</w:t>
                  </w:r>
                </w:p>
              </w:tc>
            </w:tr>
            <w:tr>
              <w:tc>
                <w:tcPr/>
                <w:p>
                  <w:pPr>
                    <w:pStyle w:val="Compact"/>
                  </w:pPr>
                  <w:r>
                    <w:t xml:space="preserve">LH anomaly PC1</w:t>
                  </w:r>
                </w:p>
              </w:tc>
              <w:tc>
                <w:tcPr/>
                <w:p>
                  <w:pPr>
                    <w:pStyle w:val="Compact"/>
                  </w:pPr>
                  <w:r>
                    <w:rPr>
                      <w:b/>
                      <w:bCs/>
                    </w:rPr>
                    <w:t xml:space="preserve">3.14 (1.57)**</w:t>
                  </w:r>
                </w:p>
              </w:tc>
              <w:tc>
                <w:tcPr/>
                <w:p>
                  <w:pPr>
                    <w:pStyle w:val="Compact"/>
                  </w:pPr>
                  <w:r>
                    <w:rPr>
                      <w:b/>
                      <w:bCs/>
                    </w:rPr>
                    <w:t xml:space="preserve">4.19 (1.72)**</w:t>
                  </w:r>
                </w:p>
              </w:tc>
              <w:tc>
                <w:tcPr/>
                <w:p>
                  <w:pPr>
                    <w:pStyle w:val="Compact"/>
                  </w:pPr>
                  <w:r>
                    <w:rPr>
                      <w:b/>
                      <w:bCs/>
                    </w:rPr>
                    <w:t xml:space="preserve">7.74 (0.96)***</w:t>
                  </w:r>
                </w:p>
              </w:tc>
              <w:tc>
                <w:tcPr/>
                <w:p>
                  <w:pPr>
                    <w:pStyle w:val="Compact"/>
                  </w:pPr>
                  <w:r>
                    <w:rPr>
                      <w:b/>
                      <w:bCs/>
                    </w:rPr>
                    <w:t xml:space="preserve">2.50 (1.50)*</w:t>
                  </w:r>
                </w:p>
              </w:tc>
              <w:tc>
                <w:tcPr/>
                <w:p>
                  <w:pPr>
                    <w:pStyle w:val="Compact"/>
                  </w:pPr>
                  <w:r>
                    <w:t xml:space="preserve">0.84 (1.23)</w:t>
                  </w:r>
                </w:p>
              </w:tc>
              <w:tc>
                <w:tcPr/>
                <w:p>
                  <w:pPr>
                    <w:pStyle w:val="Compact"/>
                  </w:pPr>
                  <w:r>
                    <w:rPr>
                      <w:b/>
                      <w:bCs/>
                    </w:rPr>
                    <w:t xml:space="preserve">5.20 (1.84)**</w:t>
                  </w:r>
                </w:p>
              </w:tc>
            </w:tr>
            <w:tr>
              <w:tc>
                <w:tcPr/>
                <w:p>
                  <w:pPr>
                    <w:pStyle w:val="Compact"/>
                  </w:pPr>
                  <w:r>
                    <w:t xml:space="preserve">LH anomaly PC2</w:t>
                  </w:r>
                </w:p>
              </w:tc>
              <w:tc>
                <w:tcPr/>
                <w:p>
                  <w:pPr>
                    <w:pStyle w:val="Compact"/>
                  </w:pPr>
                  <w:r>
                    <w:t xml:space="preserve">0.00 (0.00)</w:t>
                  </w:r>
                </w:p>
              </w:tc>
              <w:tc>
                <w:tcPr/>
                <w:p>
                  <w:pPr>
                    <w:pStyle w:val="Compact"/>
                  </w:pPr>
                  <w:r>
                    <w:t xml:space="preserve">0.00 (0.00)</w:t>
                  </w:r>
                </w:p>
              </w:tc>
              <w:tc>
                <w:tcPr/>
                <w:p>
                  <w:pPr>
                    <w:pStyle w:val="Compact"/>
                  </w:pPr>
                  <w:r>
                    <w:t xml:space="preserve">0.43 (0.57)</w:t>
                  </w:r>
                </w:p>
              </w:tc>
              <w:tc>
                <w:tcPr/>
                <w:p>
                  <w:pPr>
                    <w:pStyle w:val="Compact"/>
                  </w:pPr>
                  <w:r>
                    <w:t xml:space="preserve">0.00 (0.00)</w:t>
                  </w:r>
                </w:p>
              </w:tc>
              <w:tc>
                <w:tcPr/>
                <w:p>
                  <w:pPr>
                    <w:pStyle w:val="Compact"/>
                  </w:pPr>
                  <w:r>
                    <w:t xml:space="preserve">0.00 (0.00)</w:t>
                  </w:r>
                </w:p>
              </w:tc>
              <w:tc>
                <w:tcPr/>
                <w:p>
                  <w:pPr>
                    <w:pStyle w:val="Compact"/>
                  </w:pPr>
                  <w:r>
                    <w:t xml:space="preserve">0.08 (0.20)</w:t>
                  </w:r>
                </w:p>
              </w:tc>
            </w:tr>
            <w:tr>
              <w:tc>
                <w:tcPr/>
                <w:p>
                  <w:pPr>
                    <w:pStyle w:val="Compact"/>
                  </w:pPr>
                  <w:r>
                    <w:t xml:space="preserve">LGM anomaly PC1</w:t>
                  </w:r>
                </w:p>
              </w:tc>
              <w:tc>
                <w:tcPr/>
                <w:p>
                  <w:pPr>
                    <w:pStyle w:val="Compact"/>
                  </w:pPr>
                  <w:r>
                    <w:t xml:space="preserve">0.00 (0.00)</w:t>
                  </w:r>
                </w:p>
              </w:tc>
              <w:tc>
                <w:tcPr/>
                <w:p>
                  <w:pPr>
                    <w:pStyle w:val="Compact"/>
                  </w:pPr>
                  <w:r>
                    <w:t xml:space="preserve">0.00 (0.00)</w:t>
                  </w:r>
                </w:p>
              </w:tc>
              <w:tc>
                <w:tcPr/>
                <w:p>
                  <w:pPr>
                    <w:pStyle w:val="Compact"/>
                  </w:pPr>
                  <w:r>
                    <w:t xml:space="preserve">0.00 (0.00)</w:t>
                  </w:r>
                </w:p>
              </w:tc>
              <w:tc>
                <w:tcPr/>
                <w:p>
                  <w:pPr>
                    <w:pStyle w:val="Compact"/>
                  </w:pPr>
                  <w:r>
                    <w:t xml:space="preserve">0.00 (0.00)</w:t>
                  </w:r>
                </w:p>
              </w:tc>
              <w:tc>
                <w:tcPr/>
                <w:p>
                  <w:pPr>
                    <w:pStyle w:val="Compact"/>
                  </w:pPr>
                  <w:r>
                    <w:t xml:space="preserve">0.59 (1.02)</w:t>
                  </w:r>
                </w:p>
              </w:tc>
              <w:tc>
                <w:tcPr/>
                <w:p>
                  <w:pPr>
                    <w:pStyle w:val="Compact"/>
                  </w:pPr>
                  <w:r>
                    <w:t xml:space="preserve">0.00 (0.00)</w:t>
                  </w:r>
                </w:p>
              </w:tc>
            </w:tr>
            <w:tr>
              <w:tc>
                <w:tcPr/>
                <w:p>
                  <w:pPr>
                    <w:pStyle w:val="Compact"/>
                  </w:pPr>
                  <w:r>
                    <w:t xml:space="preserve">LGM anomaly PC2</w:t>
                  </w:r>
                </w:p>
              </w:tc>
              <w:tc>
                <w:tcPr/>
                <w:p>
                  <w:pPr>
                    <w:pStyle w:val="Compact"/>
                  </w:pPr>
                  <w:r>
                    <w:t xml:space="preserve">0.00 (0.00)</w:t>
                  </w:r>
                </w:p>
              </w:tc>
              <w:tc>
                <w:tcPr/>
                <w:p>
                  <w:pPr>
                    <w:pStyle w:val="Compact"/>
                  </w:pPr>
                  <w:r>
                    <w:t xml:space="preserve">0.00 (0.00)</w:t>
                  </w:r>
                </w:p>
              </w:tc>
              <w:tc>
                <w:tcPr/>
                <w:p>
                  <w:pPr>
                    <w:pStyle w:val="Compact"/>
                  </w:pPr>
                  <w:r>
                    <w:t xml:space="preserve">0.74 (0.93)</w:t>
                  </w:r>
                </w:p>
              </w:tc>
              <w:tc>
                <w:tcPr/>
                <w:p>
                  <w:pPr>
                    <w:pStyle w:val="Compact"/>
                  </w:pPr>
                  <w:r>
                    <w:t xml:space="preserve">0.00 (0.00)</w:t>
                  </w:r>
                </w:p>
              </w:tc>
              <w:tc>
                <w:tcPr/>
                <w:p>
                  <w:pPr>
                    <w:pStyle w:val="Compact"/>
                  </w:pPr>
                  <w:r>
                    <w:t xml:space="preserve">0.00 (0.00)</w:t>
                  </w:r>
                </w:p>
              </w:tc>
              <w:tc>
                <w:tcPr/>
                <w:p>
                  <w:pPr>
                    <w:pStyle w:val="Compact"/>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Palm functional richness showed little association with current climate but varied non-linearly with Late Holocene climate anomalies. Mammal functional richness and dispersion both declined toward more seasonal climates and along the warm–dry-to-cool–wet gradient. Both also increased toward provinces with relatively warmer and drier Late Holocene conditions compared with today. Palm functional dispersion followed a curved response to this historical gradient. Together, these patterns link present-day functional diversity to both contemporary climate and recent climatic history, with little evidence of associations with LGM anomalies.</w:t>
      </w:r>
    </w:p>
    <w:bookmarkStart w:id="54" w:name="the-influence-of-climate-on-fta"/>
    <w:p>
      <w:pPr>
        <w:pStyle w:val="Heading3"/>
      </w:pPr>
      <w:r>
        <w:t xml:space="preserve">The influence of climate on FTA</w:t>
      </w:r>
    </w:p>
    <w:p>
      <w:pPr>
        <w:pStyle w:val="FirstParagraph"/>
      </w:pPr>
      <w:r>
        <w:t xml:space="preserve">Climatic differences among provinces were reflected in the relative trait dispersion of palms and mammals. FTA–FDis declined from contemporary warm–humid toward more seasonal climates (current PC1), driven mainly by declining mammal FDis rather than a comparable change in palms. This pattern is consistent with broad scale climatic filtering of regional species pools, with seasonal environments supporting a more restricted set of mammal strategies relative to their null expectation. Importantly, these broad scale filtering also matters for local assembly: the species and traits present in region determine which strategies are available to form local communities</w:t>
      </w:r>
      <w:r>
        <w:t xml:space="preserve"> </w:t>
      </w:r>
      <w:r>
        <w:t xml:space="preserve">(Lessard et al. 2012, 2016)</w:t>
      </w:r>
      <w:r>
        <w:t xml:space="preserve">. One possible explanation is that contemporary climate limits both when mammals can forage and the resources available to them. For instance, Temperature and daylight help shape the distribution of mammal activity patterns, which was strongly represented in our mammal trait space.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More seasonal conditions may therefore favour a narrower set of mammal strategies without producing the same response in palms, helping explain the observed decline in FTA–FDis.</w:t>
      </w:r>
    </w:p>
    <w:p>
      <w:pPr>
        <w:pStyle w:val="BodyText"/>
      </w:pPr>
      <w:r>
        <w:t xml:space="preserve">Past climatic differences were also associated with present-day trait structure. Across provinces with strong Late Holocene PC1 anomalies, mammal FDis increased, whereas palm FDis followed a curved response. Their contrasting responses produced a peak in FTA–FDis between the cooler–wetter and warmer–drier ends of the Late Holocene anomaly gradient. This suggests that past climatic differences were associated with different patterns of trait dispersion in palms and mammals, changing their relative functional diversity across provinces (</w:t>
      </w:r>
      <w:hyperlink w:anchor="fig-05">
        <w:r>
          <w:rPr>
            <w:rStyle w:val="Hyperlink"/>
          </w:rPr>
          <w:t xml:space="preserve">Figure 5</w:t>
        </w:r>
      </w:hyperlink>
      <w:r>
        <w:t xml:space="preserve"> </w:t>
      </w:r>
      <w:r>
        <w:t xml:space="preserve">B; Table 1). Past climate may have shaped the palm and mammal species pools at different rates, helping explain their different patterns of trait dispersion today.</w:t>
      </w:r>
      <w:r>
        <w:t xml:space="preserve"> </w:t>
      </w:r>
      <w:r>
        <w:t xml:space="preserve">(Svenning and Sandel 2013; Eiserhardt et al. 2011)</w:t>
      </w:r>
      <w:r>
        <w:t xml:space="preserve">. Previous studies in palms show that historical environments contribute to present-day diversity, through both Quaternary climatic changes and deeper Cenozoic processes</w:t>
      </w:r>
      <w:r>
        <w:t xml:space="preserve"> </w:t>
      </w:r>
      <w:r>
        <w:t xml:space="preserve">(W. Daniel Kissling, Baker, et al. 2012; W. Daniel Kissling, Eiserhardt, et al. 2012; Lim et al. 2022)</w:t>
      </w:r>
      <w:r>
        <w:t xml:space="preserve">. This suggests that recent climate history may have shaped the range of strategies represented among palms and mammals differently, changing their relative trait diversity.</w:t>
      </w:r>
    </w:p>
    <w:p>
      <w:pPr>
        <w:pStyle w:val="BodyText"/>
      </w:pPr>
      <w:r>
        <w:t xml:space="preserve">The contemporary and Late Holocene associations with FTA–FDis remained supported after accounting for spatial structure (Figure S9). Moreover, climatic responses within palms or mammals did not always translate into significant FTA–FRic responses, showing that variation within one group and differences between groups capture distinct aspects of regional functional structure. By shaping the regional supply of producer and consumer strategies, these patterns may further influence the interactions that can form locally</w:t>
      </w:r>
      <w:r>
        <w:t xml:space="preserve"> </w:t>
      </w:r>
      <w:r>
        <w:t xml:space="preserve">(Marjakangas et al. 2022; Ponisio et al. 2019)</w:t>
      </w:r>
      <w:r>
        <w:t xml:space="preserve">. Trait matching helps organize plant–frugivore interactions [</w:t>
      </w:r>
      <w:r>
        <w:t xml:space="preserve">D. Matthias Dehling et al. (2016)</w:t>
      </w:r>
      <w:r>
        <w:t xml:space="preserve">;</w:t>
      </w:r>
      <w:r>
        <w:t xml:space="preserve"> </w:t>
      </w:r>
      <w:r>
        <w:t xml:space="preserve">Lim et al. (2020)</w:t>
      </w:r>
      <w:r>
        <w:t xml:space="preserve">;</w:t>
      </w:r>
      <w:r>
        <w:t xml:space="preserve"> </w:t>
      </w:r>
      <w:r>
        <w:t xml:space="preserve">Muñoz, Trøjelsgaard, and Kissling (2019)</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Therefore, at these broad geographic scale, FTA describes the balance between palm and mammal trait spaces, yet local interaction data are needed to determine whether this balance reflects a functional correspondence between plants and consumers, or simply their separate responses to shared environmental conditions</w:t>
      </w:r>
      <w:r>
        <w:t xml:space="preserve"> </w:t>
      </w:r>
      <w:r>
        <w:t xml:space="preserve">(Albrecht et al. 2018)</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geographic scale examined here, FTA reflects differences in how palm and mammal trait diversity relate to current climate and past climatic changes. These regional patterns define the range of plant and consumer strategies available for local interactions.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3396915"/>
            <wp:effectExtent b="0" l="0" r="0" t="0"/>
            <wp:docPr descr="Figure S1. Climatic trajectories of Neotropical biogeographic provinces from the Last Glacial Maximum to the present. 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 title="" id="60" name="Picture"/>
            <a:graphic>
              <a:graphicData uri="http://schemas.openxmlformats.org/drawingml/2006/picture">
                <pic:pic>
                  <pic:nvPicPr>
                    <pic:cNvPr descr="images/clipboard-1421114467.png" id="61" name="Picture"/>
                    <pic:cNvPicPr>
                      <a:picLocks noChangeArrowheads="1" noChangeAspect="1"/>
                    </pic:cNvPicPr>
                  </pic:nvPicPr>
                  <pic:blipFill>
                    <a:blip r:embed="rId59"/>
                    <a:stretch>
                      <a:fillRect/>
                    </a:stretch>
                  </pic:blipFill>
                  <pic:spPr bwMode="auto">
                    <a:xfrm>
                      <a:off x="0" y="0"/>
                      <a:ext cx="5334000" cy="3396915"/>
                    </a:xfrm>
                    <a:prstGeom prst="rect">
                      <a:avLst/>
                    </a:prstGeom>
                    <a:noFill/>
                    <a:ln w="9525">
                      <a:noFill/>
                      <a:headEnd/>
                      <a:tailEnd/>
                    </a:ln>
                  </pic:spPr>
                </pic:pic>
              </a:graphicData>
            </a:graphic>
          </wp:inline>
        </w:drawing>
      </w:r>
    </w:p>
    <w:p>
      <w:pPr>
        <w:pStyle w:val="ImageCaption"/>
      </w:pPr>
      <w:r>
        <w:rPr>
          <w:b/>
          <w:bCs/>
        </w:rPr>
        <w:t xml:space="preserve">Figure S1. Climatic trajectories of Neotropical biogeographic provinces from the Last Glacial Maximum to the present.</w:t>
      </w:r>
      <w:r>
        <w:t xml:space="preserve"> </w:t>
      </w:r>
      <w:r>
        <w:t xml:space="preserve">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4cbfaf5f36ebd77ca32a96e3f4e137b703b5cd"/>
    <w:p>
      <w:pPr>
        <w:pStyle w:val="Heading4"/>
      </w:pPr>
      <w:r>
        <w:t xml:space="preserve">Figure S5. Contemporary and past climatic associations with present-day palm and mammal FRic</w:t>
      </w:r>
    </w:p>
    <w:p>
      <w:pPr>
        <w:pStyle w:val="CaptionedFigure"/>
      </w:pPr>
      <w:r>
        <w:drawing>
          <wp:inline>
            <wp:extent cx="5334000" cy="6047619"/>
            <wp:effectExtent b="0" l="0" r="0" t="0"/>
            <wp:docPr descr="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 title="" id="76" name="Picture"/>
            <a:graphic>
              <a:graphicData uri="http://schemas.openxmlformats.org/drawingml/2006/picture">
                <pic:pic>
                  <pic:nvPicPr>
                    <pic:cNvPr descr="images/clipboard-525019556.png" id="77" name="Picture"/>
                    <pic:cNvPicPr>
                      <a:picLocks noChangeArrowheads="1" noChangeAspect="1"/>
                    </pic:cNvPicPr>
                  </pic:nvPicPr>
                  <pic:blipFill>
                    <a:blip r:embed="rId75"/>
                    <a:stretch>
                      <a:fillRect/>
                    </a:stretch>
                  </pic:blipFill>
                  <pic:spPr bwMode="auto">
                    <a:xfrm>
                      <a:off x="0" y="0"/>
                      <a:ext cx="5334000" cy="6047619"/>
                    </a:xfrm>
                    <a:prstGeom prst="rect">
                      <a:avLst/>
                    </a:prstGeom>
                    <a:noFill/>
                    <a:ln w="9525">
                      <a:noFill/>
                      <a:headEnd/>
                      <a:tailEnd/>
                    </a:ln>
                  </pic:spPr>
                </pic:pic>
              </a:graphicData>
            </a:graphic>
          </wp:inline>
        </w:drawing>
      </w:r>
    </w:p>
    <w:p>
      <w:pPr>
        <w:pStyle w:val="ImageCaption"/>
      </w:pPr>
      <w:r>
        <w:t xml:space="preserve">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w:t>
      </w:r>
    </w:p>
    <w:bookmarkEnd w:id="78"/>
    <w:bookmarkStart w:id="82" w:name="Xfffc6e6e91f92a030cdb7ca31d0bc6ca3a6aed3"/>
    <w:p>
      <w:pPr>
        <w:pStyle w:val="Heading4"/>
      </w:pPr>
      <w:r>
        <w:t xml:space="preserve">Figure S6. Contemporary and past climatic associations with present-day palm and mammal FDis</w:t>
      </w:r>
    </w:p>
    <w:p>
      <w:pPr>
        <w:pStyle w:val="CaptionedFigure"/>
      </w:pPr>
      <w:r>
        <w:drawing>
          <wp:inline>
            <wp:extent cx="5334000" cy="6047619"/>
            <wp:effectExtent b="0" l="0" r="0" t="0"/>
            <wp:docPr descr="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 title="" id="80" name="Picture"/>
            <a:graphic>
              <a:graphicData uri="http://schemas.openxmlformats.org/drawingml/2006/picture">
                <pic:pic>
                  <pic:nvPicPr>
                    <pic:cNvPr descr="images/clipboard-3412067275.png" id="81" name="Picture"/>
                    <pic:cNvPicPr>
                      <a:picLocks noChangeArrowheads="1" noChangeAspect="1"/>
                    </pic:cNvPicPr>
                  </pic:nvPicPr>
                  <pic:blipFill>
                    <a:blip r:embed="rId79"/>
                    <a:stretch>
                      <a:fillRect/>
                    </a:stretch>
                  </pic:blipFill>
                  <pic:spPr bwMode="auto">
                    <a:xfrm>
                      <a:off x="0" y="0"/>
                      <a:ext cx="5334000" cy="6047619"/>
                    </a:xfrm>
                    <a:prstGeom prst="rect">
                      <a:avLst/>
                    </a:prstGeom>
                    <a:noFill/>
                    <a:ln w="9525">
                      <a:noFill/>
                      <a:headEnd/>
                      <a:tailEnd/>
                    </a:ln>
                  </pic:spPr>
                </pic:pic>
              </a:graphicData>
            </a:graphic>
          </wp:inline>
        </w:drawing>
      </w:r>
    </w:p>
    <w:p>
      <w:pPr>
        <w:pStyle w:val="ImageCaption"/>
      </w:pPr>
      <w:r>
        <w:t xml:space="preserve">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w:t>
      </w:r>
    </w:p>
    <w:bookmarkEnd w:id="82"/>
    <w:bookmarkStart w:id="86" w:name="Xbab6d74428f47ad83de833078177d5777eaed30"/>
    <w:p>
      <w:pPr>
        <w:pStyle w:val="Heading4"/>
      </w:pPr>
      <w:r>
        <w:t xml:space="preserve">Figure S7. Diagnostic plots for the generalized additive models of FRic and FDis.</w:t>
      </w:r>
    </w:p>
    <w:p>
      <w:pPr>
        <w:pStyle w:val="CaptionedFigure"/>
      </w:pPr>
      <w:r>
        <w:drawing>
          <wp:inline>
            <wp:extent cx="5334000" cy="4577482"/>
            <wp:effectExtent b="0" l="0" r="0" t="0"/>
            <wp:docPr descr="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 title="" id="84" name="Picture"/>
            <a:graphic>
              <a:graphicData uri="http://schemas.openxmlformats.org/drawingml/2006/picture">
                <pic:pic>
                  <pic:nvPicPr>
                    <pic:cNvPr descr="images/clipboard-3728963362.png" id="85" name="Picture"/>
                    <pic:cNvPicPr>
                      <a:picLocks noChangeArrowheads="1" noChangeAspect="1"/>
                    </pic:cNvPicPr>
                  </pic:nvPicPr>
                  <pic:blipFill>
                    <a:blip r:embed="rId83"/>
                    <a:stretch>
                      <a:fillRect/>
                    </a:stretch>
                  </pic:blipFill>
                  <pic:spPr bwMode="auto">
                    <a:xfrm>
                      <a:off x="0" y="0"/>
                      <a:ext cx="5334000" cy="4577482"/>
                    </a:xfrm>
                    <a:prstGeom prst="rect">
                      <a:avLst/>
                    </a:prstGeom>
                    <a:noFill/>
                    <a:ln w="9525">
                      <a:noFill/>
                      <a:headEnd/>
                      <a:tailEnd/>
                    </a:ln>
                  </pic:spPr>
                </pic:pic>
              </a:graphicData>
            </a:graphic>
          </wp:inline>
        </w:drawing>
      </w:r>
    </w:p>
    <w:p>
      <w:pPr>
        <w:pStyle w:val="ImageCaption"/>
      </w:pPr>
      <w:r>
        <w:t xml:space="preserve">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w:t>
      </w:r>
    </w:p>
    <w:bookmarkEnd w:id="86"/>
    <w:bookmarkStart w:id="90" w:name="X59aedd649d5c55e8dccfd5a92721004d63c492b"/>
    <w:p>
      <w:pPr>
        <w:pStyle w:val="Heading4"/>
      </w:pPr>
      <w:r>
        <w:t xml:space="preserve">Figure S8. Diagnostic plots for the generalized additive model for FTA</w:t>
      </w:r>
    </w:p>
    <w:p>
      <w:pPr>
        <w:pStyle w:val="CaptionedFigure"/>
      </w:pPr>
      <w:r>
        <w:drawing>
          <wp:inline>
            <wp:extent cx="5334000" cy="2823237"/>
            <wp:effectExtent b="0" l="0" r="0" t="0"/>
            <wp:docPr descr="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 title="" id="88" name="Picture"/>
            <a:graphic>
              <a:graphicData uri="http://schemas.openxmlformats.org/drawingml/2006/picture">
                <pic:pic>
                  <pic:nvPicPr>
                    <pic:cNvPr descr="images/clipboard-1076794788.png" id="89" name="Picture"/>
                    <pic:cNvPicPr>
                      <a:picLocks noChangeArrowheads="1" noChangeAspect="1"/>
                    </pic:cNvPicPr>
                  </pic:nvPicPr>
                  <pic:blipFill>
                    <a:blip r:embed="rId87"/>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3879908"/>
            <wp:effectExtent b="0" l="0" r="0" t="0"/>
            <wp:docPr descr="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 title="" id="92" name="Picture"/>
            <a:graphic>
              <a:graphicData uri="http://schemas.openxmlformats.org/drawingml/2006/picture">
                <pic:pic>
                  <pic:nvPicPr>
                    <pic:cNvPr descr="images/clipboard-2567160789.png" id="93" name="Picture"/>
                    <pic:cNvPicPr>
                      <a:picLocks noChangeArrowheads="1" noChangeAspect="1"/>
                    </pic:cNvPicPr>
                  </pic:nvPicPr>
                  <pic:blipFill>
                    <a:blip r:embed="rId91"/>
                    <a:stretch>
                      <a:fillRect/>
                    </a:stretch>
                  </pic:blipFill>
                  <pic:spPr bwMode="auto">
                    <a:xfrm>
                      <a:off x="0" y="0"/>
                      <a:ext cx="5334000" cy="3879908"/>
                    </a:xfrm>
                    <a:prstGeom prst="rect">
                      <a:avLst/>
                    </a:prstGeom>
                    <a:noFill/>
                    <a:ln w="9525">
                      <a:noFill/>
                      <a:headEnd/>
                      <a:tailEnd/>
                    </a:ln>
                  </pic:spPr>
                </pic:pic>
              </a:graphicData>
            </a:graphic>
          </wp:inline>
        </w:drawing>
      </w:r>
    </w:p>
    <w:p>
      <w:pPr>
        <w:pStyle w:val="ImageCaption"/>
      </w:pPr>
      <w:r>
        <w:t xml:space="preserve">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w:t>
      </w:r>
    </w:p>
    <w:bookmarkEnd w:id="94"/>
    <w:bookmarkEnd w:id="95"/>
    <w:bookmarkStart w:id="227" w:name="references"/>
    <w:p>
      <w:pPr>
        <w:pStyle w:val="Heading2"/>
      </w:pPr>
      <w:r>
        <w:t xml:space="preserve">REFERENCES</w:t>
      </w:r>
    </w:p>
    <w:bookmarkStart w:id="226"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3"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3"/>
    <w:bookmarkStart w:id="125"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4">
        <w:r>
          <w:rPr>
            <w:rStyle w:val="Hyperlink"/>
          </w:rPr>
          <w:t xml:space="preserve">https://doi.org/10.1098/rspb.2015.2444</w:t>
        </w:r>
      </w:hyperlink>
      <w:r>
        <w:t xml:space="preserve">.</w:t>
      </w:r>
    </w:p>
    <w:bookmarkEnd w:id="125"/>
    <w:bookmarkStart w:id="126"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6"/>
    <w:bookmarkStart w:id="127"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7"/>
    <w:bookmarkStart w:id="128"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28"/>
    <w:bookmarkStart w:id="129"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29"/>
    <w:bookmarkStart w:id="130"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0"/>
    <w:bookmarkStart w:id="131"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1"/>
    <w:bookmarkStart w:id="132" w:name="ref-Eiserhardt2011"/>
    <w:p>
      <w:pPr>
        <w:pStyle w:val="Bibliography"/>
      </w:pPr>
      <w:r>
        <w:t xml:space="preserve">Eiserhardt, W. L., J. -C. Svenning, W. D. Kissling, and H. Balslev. 2011.</w:t>
      </w:r>
      <w:r>
        <w:t xml:space="preserve"> </w:t>
      </w:r>
      <w:r>
        <w:t xml:space="preserve">“Geographical Ecology of the Palms (Arecaceae): Determinants of Diversity and Distributions Across Spatial Scales.”</w:t>
      </w:r>
      <w:r>
        <w:t xml:space="preserve"> </w:t>
      </w:r>
      <w:r>
        <w:rPr>
          <w:i/>
          <w:iCs/>
        </w:rPr>
        <w:t xml:space="preserve">Annals of Botany</w:t>
      </w:r>
      <w:r>
        <w:t xml:space="preserve"> </w:t>
      </w:r>
      <w:r>
        <w:t xml:space="preserve">108: 1391–1416.</w:t>
      </w:r>
    </w:p>
    <w:bookmarkEnd w:id="132"/>
    <w:bookmarkStart w:id="133"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3"/>
    <w:bookmarkStart w:id="134"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4"/>
    <w:bookmarkStart w:id="135"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5"/>
    <w:bookmarkStart w:id="136"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6"/>
    <w:bookmarkStart w:id="137"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37"/>
    <w:bookmarkStart w:id="139"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38">
        <w:r>
          <w:rPr>
            <w:rStyle w:val="Hyperlink"/>
          </w:rPr>
          <w:t xml:space="preserve">https://doi.org/10.1111/1365-2664.14309</w:t>
        </w:r>
      </w:hyperlink>
      <w:r>
        <w:t xml:space="preserve">.</w:t>
      </w:r>
    </w:p>
    <w:bookmarkEnd w:id="139"/>
    <w:bookmarkStart w:id="141"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0">
        <w:r>
          <w:rPr>
            <w:rStyle w:val="Hyperlink"/>
          </w:rPr>
          <w:t xml:space="preserve">https://doi.org/10.1002/eap.2731</w:t>
        </w:r>
      </w:hyperlink>
      <w:r>
        <w:t xml:space="preserve">.</w:t>
      </w:r>
    </w:p>
    <w:bookmarkEnd w:id="141"/>
    <w:bookmarkStart w:id="142"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2"/>
    <w:bookmarkStart w:id="143"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3"/>
    <w:bookmarkStart w:id="144"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4"/>
    <w:bookmarkStart w:id="145"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5"/>
    <w:bookmarkStart w:id="146"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6"/>
    <w:bookmarkStart w:id="148"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47">
        <w:r>
          <w:rPr>
            <w:rStyle w:val="Hyperlink"/>
          </w:rPr>
          <w:t xml:space="preserve">https://doi.org/10.1126/science.1130880</w:t>
        </w:r>
      </w:hyperlink>
      <w:r>
        <w:t xml:space="preserve">.</w:t>
      </w:r>
    </w:p>
    <w:bookmarkEnd w:id="148"/>
    <w:bookmarkStart w:id="149"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49"/>
    <w:bookmarkStart w:id="151" w:name="ref-KisslingLegacies2012"/>
    <w:p>
      <w:pPr>
        <w:pStyle w:val="Bibliography"/>
      </w:pPr>
      <w:r>
        <w:t xml:space="preserve">Kissling, W. Daniel, William J. Baker, Henrik Balslev, Anders S. Barfod, Finn Borchsenius, John Dransfield, Rafaël Govaerts, and Jens-Christian Svenning. 2012.</w:t>
      </w:r>
      <w:r>
        <w:t xml:space="preserve"> </w:t>
      </w:r>
      <w:r>
        <w:t xml:space="preserve">“</w:t>
      </w:r>
      <w:r>
        <w:t xml:space="preserve">Quaternary</w:t>
      </w:r>
      <w:r>
        <w:t xml:space="preserve"> </w:t>
      </w:r>
      <w:r>
        <w:t xml:space="preserve">and Pre-</w:t>
      </w:r>
      <w:r>
        <w:t xml:space="preserve">Quaternary</w:t>
      </w:r>
      <w:r>
        <w:t xml:space="preserve"> </w:t>
      </w:r>
      <w:r>
        <w:t xml:space="preserve">Historical Legacies in the Global Distribution of a Major Tropical Plant Lineage.”</w:t>
      </w:r>
      <w:r>
        <w:t xml:space="preserve"> </w:t>
      </w:r>
      <w:r>
        <w:rPr>
          <w:i/>
          <w:iCs/>
        </w:rPr>
        <w:t xml:space="preserve">Global Ecology and Biogeography</w:t>
      </w:r>
      <w:r>
        <w:t xml:space="preserve"> </w:t>
      </w:r>
      <w:r>
        <w:t xml:space="preserve">21 (9): 909–21.</w:t>
      </w:r>
      <w:r>
        <w:t xml:space="preserve"> </w:t>
      </w:r>
      <w:hyperlink r:id="rId150">
        <w:r>
          <w:rPr>
            <w:rStyle w:val="Hyperlink"/>
          </w:rPr>
          <w:t xml:space="preserve">https://doi.org/10.1111/j.1466-8238.2011.00728.x</w:t>
        </w:r>
      </w:hyperlink>
      <w:r>
        <w:t xml:space="preserve">.</w:t>
      </w:r>
    </w:p>
    <w:bookmarkEnd w:id="151"/>
    <w:bookmarkStart w:id="153" w:name="ref-KisslingCenozoic2012"/>
    <w:p>
      <w:pPr>
        <w:pStyle w:val="Bibliography"/>
      </w:pPr>
      <w:r>
        <w:t xml:space="preserve">Kissling, W. Daniel, Wolf L. Eiserhardt, William J. Baker, Finn Borchsenius, Thomas L. P. Couvreur, Henrik Balslev, and Jens-Christian Svenning. 2012.</w:t>
      </w:r>
      <w:r>
        <w:t xml:space="preserve"> </w:t>
      </w:r>
      <w:r>
        <w:t xml:space="preserve">“</w:t>
      </w:r>
      <w:r>
        <w:t xml:space="preserve">Cenozoic</w:t>
      </w:r>
      <w:r>
        <w:t xml:space="preserve"> </w:t>
      </w:r>
      <w:r>
        <w:t xml:space="preserve">Imprints on the Phylogenetic Structure of Palm Species Assemblages Worldwide.”</w:t>
      </w:r>
      <w:r>
        <w:t xml:space="preserve"> </w:t>
      </w:r>
      <w:r>
        <w:rPr>
          <w:i/>
          <w:iCs/>
        </w:rPr>
        <w:t xml:space="preserve">Proceedings of the National Academy of Sciences</w:t>
      </w:r>
      <w:r>
        <w:t xml:space="preserve"> </w:t>
      </w:r>
      <w:r>
        <w:t xml:space="preserve">109 (19): 7379–84.</w:t>
      </w:r>
      <w:r>
        <w:t xml:space="preserve"> </w:t>
      </w:r>
      <w:hyperlink r:id="rId152">
        <w:r>
          <w:rPr>
            <w:rStyle w:val="Hyperlink"/>
          </w:rPr>
          <w:t xml:space="preserve">https://doi.org/10.1073/pnas.1120467109</w:t>
        </w:r>
      </w:hyperlink>
      <w:r>
        <w:t xml:space="preserve">.</w:t>
      </w:r>
    </w:p>
    <w:bookmarkEnd w:id="153"/>
    <w:bookmarkStart w:id="155"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4">
        <w:r>
          <w:rPr>
            <w:rStyle w:val="Hyperlink"/>
          </w:rPr>
          <w:t xml:space="preserve">https://doi.org/10.1038/s41597-019-0174-2</w:t>
        </w:r>
      </w:hyperlink>
      <w:r>
        <w:t xml:space="preserve">.</w:t>
      </w:r>
    </w:p>
    <w:bookmarkEnd w:id="155"/>
    <w:bookmarkStart w:id="156"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6"/>
    <w:bookmarkStart w:id="157"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7"/>
    <w:bookmarkStart w:id="158"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8"/>
    <w:bookmarkStart w:id="159"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9"/>
    <w:bookmarkStart w:id="160"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60"/>
    <w:bookmarkStart w:id="161"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1"/>
    <w:bookmarkStart w:id="162"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2"/>
    <w:bookmarkStart w:id="163"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3"/>
    <w:bookmarkStart w:id="165" w:name="ref-Lessard2012"/>
    <w:p>
      <w:pPr>
        <w:pStyle w:val="Bibliography"/>
      </w:pPr>
      <w:r>
        <w:t xml:space="preserve">Lessard, Jean-Philippe, Jonathan Belmaker, Jonathan A. Myers, Jonathan M. Chase, and Carsten Rahbek. 2012.</w:t>
      </w:r>
      <w:r>
        <w:t xml:space="preserve"> </w:t>
      </w:r>
      <w:r>
        <w:t xml:space="preserve">“Inferring Local Ecological Processes Amid Species Pool Influences.”</w:t>
      </w:r>
      <w:r>
        <w:t xml:space="preserve"> </w:t>
      </w:r>
      <w:r>
        <w:rPr>
          <w:i/>
          <w:iCs/>
        </w:rPr>
        <w:t xml:space="preserve">Trends in Ecology &amp; Evolution</w:t>
      </w:r>
      <w:r>
        <w:t xml:space="preserve"> </w:t>
      </w:r>
      <w:r>
        <w:t xml:space="preserve">27 (11): 600–607.</w:t>
      </w:r>
      <w:r>
        <w:t xml:space="preserve"> </w:t>
      </w:r>
      <w:hyperlink r:id="rId164">
        <w:r>
          <w:rPr>
            <w:rStyle w:val="Hyperlink"/>
          </w:rPr>
          <w:t xml:space="preserve">https://doi.org/10.1016/j.tree.2012.07.006</w:t>
        </w:r>
      </w:hyperlink>
      <w:r>
        <w:t xml:space="preserve">.</w:t>
      </w:r>
    </w:p>
    <w:bookmarkEnd w:id="165"/>
    <w:bookmarkStart w:id="167" w:name="ref-Lessard2016"/>
    <w:p>
      <w:pPr>
        <w:pStyle w:val="Bibliography"/>
      </w:pPr>
      <w:r>
        <w:t xml:space="preserve">Lessard, Jean-Philippe, Ben G. Weinstein, Michael K. Borregaard, Katharine A. Marske, Danny R. Martin, Jimmy A. McGuire, Juan L. Parra, Carsten Rahbek, and Catherine H. Graham. 2016.</w:t>
      </w:r>
      <w:r>
        <w:t xml:space="preserve"> </w:t>
      </w:r>
      <w:r>
        <w:t xml:space="preserve">“Process-Based Species Pools Reveal the Hidden Signature of Biotic Interactions Amid the Influence of Temperature Filtering.”</w:t>
      </w:r>
      <w:r>
        <w:t xml:space="preserve"> </w:t>
      </w:r>
      <w:r>
        <w:rPr>
          <w:i/>
          <w:iCs/>
        </w:rPr>
        <w:t xml:space="preserve">The American Naturalist</w:t>
      </w:r>
      <w:r>
        <w:t xml:space="preserve"> </w:t>
      </w:r>
      <w:r>
        <w:t xml:space="preserve">187 (1): 75–88.</w:t>
      </w:r>
      <w:r>
        <w:t xml:space="preserve"> </w:t>
      </w:r>
      <w:hyperlink r:id="rId166">
        <w:r>
          <w:rPr>
            <w:rStyle w:val="Hyperlink"/>
          </w:rPr>
          <w:t xml:space="preserve">https://doi.org/10.1086/684128</w:t>
        </w:r>
      </w:hyperlink>
      <w:r>
        <w:t xml:space="preserve">.</w:t>
      </w:r>
    </w:p>
    <w:bookmarkEnd w:id="167"/>
    <w:bookmarkStart w:id="169"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8">
        <w:r>
          <w:rPr>
            <w:rStyle w:val="Hyperlink"/>
          </w:rPr>
          <w:t xml:space="preserve">https://doi.org/10.1111/geb.13436</w:t>
        </w:r>
      </w:hyperlink>
      <w:r>
        <w:t xml:space="preserve">.</w:t>
      </w:r>
    </w:p>
    <w:bookmarkEnd w:id="169"/>
    <w:bookmarkStart w:id="170"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70"/>
    <w:bookmarkStart w:id="171"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71"/>
    <w:bookmarkStart w:id="172"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72"/>
    <w:bookmarkStart w:id="173"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73"/>
    <w:bookmarkStart w:id="174"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74"/>
    <w:bookmarkStart w:id="175"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5"/>
    <w:bookmarkStart w:id="176"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6"/>
    <w:bookmarkStart w:id="177"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7"/>
    <w:bookmarkStart w:id="179"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8">
        <w:r>
          <w:rPr>
            <w:rStyle w:val="Hyperlink"/>
          </w:rPr>
          <w:t xml:space="preserve">https://doi.org/10.1038/s41467-019-12995-9</w:t>
        </w:r>
      </w:hyperlink>
      <w:r>
        <w:t xml:space="preserve">.</w:t>
      </w:r>
    </w:p>
    <w:bookmarkEnd w:id="179"/>
    <w:bookmarkStart w:id="180"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80"/>
    <w:bookmarkStart w:id="181"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81"/>
    <w:bookmarkStart w:id="182"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82"/>
    <w:bookmarkStart w:id="183"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83"/>
    <w:bookmarkStart w:id="184"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84"/>
    <w:bookmarkStart w:id="186"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5">
        <w:r>
          <w:rPr>
            <w:rStyle w:val="Hyperlink"/>
          </w:rPr>
          <w:t xml:space="preserve">https://doi.org/10.1111/gcb.16334</w:t>
        </w:r>
      </w:hyperlink>
      <w:r>
        <w:t xml:space="preserve">.</w:t>
      </w:r>
    </w:p>
    <w:bookmarkEnd w:id="186"/>
    <w:bookmarkStart w:id="187"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7"/>
    <w:bookmarkStart w:id="188"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8"/>
    <w:bookmarkStart w:id="189"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9"/>
    <w:bookmarkStart w:id="190"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90"/>
    <w:bookmarkStart w:id="191"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1"/>
    <w:bookmarkStart w:id="192"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2"/>
    <w:bookmarkStart w:id="194"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3">
        <w:r>
          <w:rPr>
            <w:rStyle w:val="Hyperlink"/>
          </w:rPr>
          <w:t xml:space="preserve">https://doi.org/10.1126/science.235.4785.167</w:t>
        </w:r>
      </w:hyperlink>
      <w:r>
        <w:t xml:space="preserve">.</w:t>
      </w:r>
    </w:p>
    <w:bookmarkEnd w:id="194"/>
    <w:bookmarkStart w:id="195"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5"/>
    <w:bookmarkStart w:id="197"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6">
        <w:r>
          <w:rPr>
            <w:rStyle w:val="Hyperlink"/>
          </w:rPr>
          <w:t xml:space="preserve">https://doi.org/10.1073/pnas.1910489116</w:t>
        </w:r>
      </w:hyperlink>
      <w:r>
        <w:t xml:space="preserve">.</w:t>
      </w:r>
    </w:p>
    <w:bookmarkEnd w:id="197"/>
    <w:bookmarkStart w:id="198"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8"/>
    <w:bookmarkStart w:id="199"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9"/>
    <w:bookmarkStart w:id="200"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200"/>
    <w:bookmarkStart w:id="202"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1">
        <w:r>
          <w:rPr>
            <w:rStyle w:val="Hyperlink"/>
          </w:rPr>
          <w:t xml:space="preserve">https://doi.org/10.1111/ecog.02118</w:t>
        </w:r>
      </w:hyperlink>
      <w:r>
        <w:t xml:space="preserve">.</w:t>
      </w:r>
    </w:p>
    <w:bookmarkEnd w:id="202"/>
    <w:bookmarkStart w:id="203"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3"/>
    <w:bookmarkStart w:id="204"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4"/>
    <w:bookmarkStart w:id="205"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5"/>
    <w:bookmarkStart w:id="207"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6">
        <w:r>
          <w:rPr>
            <w:rStyle w:val="Hyperlink"/>
          </w:rPr>
          <w:t xml:space="preserve">https://doi.org/10.1146/annurev-ecolsys-112414-054314</w:t>
        </w:r>
      </w:hyperlink>
      <w:r>
        <w:t xml:space="preserve">.</w:t>
      </w:r>
    </w:p>
    <w:bookmarkEnd w:id="207"/>
    <w:bookmarkStart w:id="208"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6">
        <w:r>
          <w:rPr>
            <w:rStyle w:val="Hyperlink"/>
          </w:rPr>
          <w:t xml:space="preserve">https://doi.org/10.1146/annurev-ecolsys-112414-054314</w:t>
        </w:r>
      </w:hyperlink>
      <w:r>
        <w:t xml:space="preserve">.</w:t>
      </w:r>
    </w:p>
    <w:bookmarkEnd w:id="208"/>
    <w:bookmarkStart w:id="210" w:name="ref-SvenningSandel2013"/>
    <w:p>
      <w:pPr>
        <w:pStyle w:val="Bibliography"/>
      </w:pPr>
      <w:r>
        <w:t xml:space="preserve">Svenning, Jens-Christian, and Brody Sandel. 2013.</w:t>
      </w:r>
      <w:r>
        <w:t xml:space="preserve"> </w:t>
      </w:r>
      <w:r>
        <w:t xml:space="preserve">“Disequilibrium Vegetation Dynamics Under Future Climate Change.”</w:t>
      </w:r>
      <w:r>
        <w:t xml:space="preserve"> </w:t>
      </w:r>
      <w:r>
        <w:rPr>
          <w:i/>
          <w:iCs/>
        </w:rPr>
        <w:t xml:space="preserve">American Journal of Botany</w:t>
      </w:r>
      <w:r>
        <w:t xml:space="preserve"> </w:t>
      </w:r>
      <w:r>
        <w:t xml:space="preserve">100 (7): 1266–86.</w:t>
      </w:r>
      <w:r>
        <w:t xml:space="preserve"> </w:t>
      </w:r>
      <w:hyperlink r:id="rId209">
        <w:r>
          <w:rPr>
            <w:rStyle w:val="Hyperlink"/>
          </w:rPr>
          <w:t xml:space="preserve">https://doi.org/10.3732/ajb.1200469</w:t>
        </w:r>
      </w:hyperlink>
      <w:r>
        <w:t xml:space="preserve">.</w:t>
      </w:r>
    </w:p>
    <w:bookmarkEnd w:id="210"/>
    <w:bookmarkStart w:id="211"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11"/>
    <w:bookmarkStart w:id="212"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12"/>
    <w:bookmarkStart w:id="214"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3">
        <w:r>
          <w:rPr>
            <w:rStyle w:val="Hyperlink"/>
          </w:rPr>
          <w:t xml:space="preserve">https://doi.org/10.1016/j.biocon.2018.05.022</w:t>
        </w:r>
      </w:hyperlink>
      <w:r>
        <w:t xml:space="preserve">.</w:t>
      </w:r>
    </w:p>
    <w:bookmarkEnd w:id="214"/>
    <w:bookmarkStart w:id="215"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5"/>
    <w:bookmarkStart w:id="216"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6"/>
    <w:bookmarkStart w:id="217"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7"/>
    <w:bookmarkStart w:id="219"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8">
        <w:r>
          <w:rPr>
            <w:rStyle w:val="Hyperlink"/>
          </w:rPr>
          <w:t xml:space="preserve">https://doi.org/10.1016/j.tree.2004.09.011</w:t>
        </w:r>
      </w:hyperlink>
      <w:r>
        <w:t xml:space="preserve">.</w:t>
      </w:r>
    </w:p>
    <w:bookmarkEnd w:id="219"/>
    <w:bookmarkStart w:id="221"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20">
        <w:r>
          <w:rPr>
            <w:rStyle w:val="Hyperlink"/>
          </w:rPr>
          <w:t xml:space="preserve">https://doi.org/10.1890/13-1917.1</w:t>
        </w:r>
      </w:hyperlink>
      <w:r>
        <w:t xml:space="preserve">.</w:t>
      </w:r>
    </w:p>
    <w:bookmarkEnd w:id="221"/>
    <w:bookmarkStart w:id="223"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22">
        <w:r>
          <w:rPr>
            <w:rStyle w:val="Hyperlink"/>
          </w:rPr>
          <w:t xml:space="preserve">https://doi.org/10.1201/9781315370279</w:t>
        </w:r>
      </w:hyperlink>
      <w:r>
        <w:t xml:space="preserve">.</w:t>
      </w:r>
    </w:p>
    <w:bookmarkEnd w:id="223"/>
    <w:bookmarkStart w:id="224"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4"/>
    <w:bookmarkStart w:id="225"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5"/>
    <w:bookmarkEnd w:id="226"/>
    <w:bookmarkEnd w:id="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87" Target="media/rId87.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83" Target="media/rId83.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hyperlink" Id="rId140" Target="https://doi.org/10.1002/eap.2731" TargetMode="External" /><Relationship Type="http://schemas.openxmlformats.org/officeDocument/2006/relationships/hyperlink" Id="rId213" Target="https://doi.org/10.1016/j.biocon.2018.05.022" TargetMode="External" /><Relationship Type="http://schemas.openxmlformats.org/officeDocument/2006/relationships/hyperlink" Id="rId218" Target="https://doi.org/10.1016/j.tree.2004.09.011" TargetMode="External" /><Relationship Type="http://schemas.openxmlformats.org/officeDocument/2006/relationships/hyperlink" Id="rId164" Target="https://doi.org/10.1016/j.tree.2012.07.006" TargetMode="External" /><Relationship Type="http://schemas.openxmlformats.org/officeDocument/2006/relationships/hyperlink" Id="rId178" Target="https://doi.org/10.1038/s41467-019-12995-9" TargetMode="External" /><Relationship Type="http://schemas.openxmlformats.org/officeDocument/2006/relationships/hyperlink" Id="rId154"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52" Target="https://doi.org/10.1073/pnas.1120467109" TargetMode="External" /><Relationship Type="http://schemas.openxmlformats.org/officeDocument/2006/relationships/hyperlink" Id="rId196" Target="https://doi.org/10.1073/pnas.1910489116" TargetMode="External" /><Relationship Type="http://schemas.openxmlformats.org/officeDocument/2006/relationships/hyperlink" Id="rId166" Target="https://doi.org/10.1086/684128" TargetMode="External" /><Relationship Type="http://schemas.openxmlformats.org/officeDocument/2006/relationships/hyperlink" Id="rId124" Target="https://doi.org/10.1098/rspb.2015.2444" TargetMode="External" /><Relationship Type="http://schemas.openxmlformats.org/officeDocument/2006/relationships/hyperlink" Id="rId138" Target="https://doi.org/10.1111/1365-2664.14309" TargetMode="External" /><Relationship Type="http://schemas.openxmlformats.org/officeDocument/2006/relationships/hyperlink" Id="rId201"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5" Target="https://doi.org/10.1111/gcb.16334" TargetMode="External" /><Relationship Type="http://schemas.openxmlformats.org/officeDocument/2006/relationships/hyperlink" Id="rId168"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11/j.1466-8238.2011.00728.x" TargetMode="External" /><Relationship Type="http://schemas.openxmlformats.org/officeDocument/2006/relationships/hyperlink" Id="rId147" Target="https://doi.org/10.1126/science.1130880" TargetMode="External" /><Relationship Type="http://schemas.openxmlformats.org/officeDocument/2006/relationships/hyperlink" Id="rId193" Target="https://doi.org/10.1126/science.235.4785.167" TargetMode="External" /><Relationship Type="http://schemas.openxmlformats.org/officeDocument/2006/relationships/hyperlink" Id="rId206" Target="https://doi.org/10.1146/annurev-ecolsys-112414-054314" TargetMode="External" /><Relationship Type="http://schemas.openxmlformats.org/officeDocument/2006/relationships/hyperlink" Id="rId222" Target="https://doi.org/10.1201/9781315370279" TargetMode="External" /><Relationship Type="http://schemas.openxmlformats.org/officeDocument/2006/relationships/hyperlink" Id="rId220" Target="https://doi.org/10.1890/13-1917.1" TargetMode="External" /><Relationship Type="http://schemas.openxmlformats.org/officeDocument/2006/relationships/hyperlink" Id="rId209" Target="https://doi.org/10.3732/ajb.1200469"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2/eap.2731" TargetMode="External" /><Relationship Type="http://schemas.openxmlformats.org/officeDocument/2006/relationships/hyperlink" Id="rId213" Target="https://doi.org/10.1016/j.biocon.2018.05.022" TargetMode="External" /><Relationship Type="http://schemas.openxmlformats.org/officeDocument/2006/relationships/hyperlink" Id="rId218" Target="https://doi.org/10.1016/j.tree.2004.09.011" TargetMode="External" /><Relationship Type="http://schemas.openxmlformats.org/officeDocument/2006/relationships/hyperlink" Id="rId164" Target="https://doi.org/10.1016/j.tree.2012.07.006" TargetMode="External" /><Relationship Type="http://schemas.openxmlformats.org/officeDocument/2006/relationships/hyperlink" Id="rId178" Target="https://doi.org/10.1038/s41467-019-12995-9" TargetMode="External" /><Relationship Type="http://schemas.openxmlformats.org/officeDocument/2006/relationships/hyperlink" Id="rId154"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52" Target="https://doi.org/10.1073/pnas.1120467109" TargetMode="External" /><Relationship Type="http://schemas.openxmlformats.org/officeDocument/2006/relationships/hyperlink" Id="rId196" Target="https://doi.org/10.1073/pnas.1910489116" TargetMode="External" /><Relationship Type="http://schemas.openxmlformats.org/officeDocument/2006/relationships/hyperlink" Id="rId166" Target="https://doi.org/10.1086/684128" TargetMode="External" /><Relationship Type="http://schemas.openxmlformats.org/officeDocument/2006/relationships/hyperlink" Id="rId124" Target="https://doi.org/10.1098/rspb.2015.2444" TargetMode="External" /><Relationship Type="http://schemas.openxmlformats.org/officeDocument/2006/relationships/hyperlink" Id="rId138" Target="https://doi.org/10.1111/1365-2664.14309" TargetMode="External" /><Relationship Type="http://schemas.openxmlformats.org/officeDocument/2006/relationships/hyperlink" Id="rId201"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5" Target="https://doi.org/10.1111/gcb.16334" TargetMode="External" /><Relationship Type="http://schemas.openxmlformats.org/officeDocument/2006/relationships/hyperlink" Id="rId168"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11/j.1466-8238.2011.00728.x" TargetMode="External" /><Relationship Type="http://schemas.openxmlformats.org/officeDocument/2006/relationships/hyperlink" Id="rId147" Target="https://doi.org/10.1126/science.1130880" TargetMode="External" /><Relationship Type="http://schemas.openxmlformats.org/officeDocument/2006/relationships/hyperlink" Id="rId193" Target="https://doi.org/10.1126/science.235.4785.167" TargetMode="External" /><Relationship Type="http://schemas.openxmlformats.org/officeDocument/2006/relationships/hyperlink" Id="rId206" Target="https://doi.org/10.1146/annurev-ecolsys-112414-054314" TargetMode="External" /><Relationship Type="http://schemas.openxmlformats.org/officeDocument/2006/relationships/hyperlink" Id="rId222" Target="https://doi.org/10.1201/9781315370279" TargetMode="External" /><Relationship Type="http://schemas.openxmlformats.org/officeDocument/2006/relationships/hyperlink" Id="rId220" Target="https://doi.org/10.1890/13-1917.1" TargetMode="External" /><Relationship Type="http://schemas.openxmlformats.org/officeDocument/2006/relationships/hyperlink" Id="rId209" Target="https://doi.org/10.3732/ajb.12004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2026-09-12T20:57:15Z</dcterms:created>
  <dcterms:modified xsi:type="dcterms:W3CDTF">2026-09-12T20:57:15Z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2026-09-12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