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97.png" ContentType="image/png"/>
  <Override PartName="/word/media/rId81.png" ContentType="image/png"/>
  <Override PartName="/word/media/rId101.png" ContentType="image/png"/>
  <Override PartName="/word/media/rId89.png" ContentType="image/png"/>
  <Override PartName="/word/media/rId77.png" ContentType="image/png"/>
  <Override PartName="/word/media/rId40.png" ContentType="image/png"/>
  <Override PartName="/word/media/rId73.png" ContentType="image/png"/>
  <Override PartName="/word/media/rId28.png" ContentType="image/png"/>
  <Override PartName="/word/media/rId45.png" ContentType="image/png"/>
  <Override PartName="/word/media/rId61.png" ContentType="image/png"/>
  <Override PartName="/word/media/rId69.png" ContentType="image/png"/>
  <Override PartName="/word/media/rId93.png" ContentType="image/png"/>
  <Override PartName="/word/media/rId20.png" ContentType="image/png"/>
  <Override PartName="/word/media/rId35.png" ContentType="image/png"/>
  <Override PartName="/word/media/rId65.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responses of producers and consumers to climate generate functional trophic asymmetry</w:t>
      </w:r>
    </w:p>
    <w:p>
      <w:pPr>
        <w:pStyle w:val="Date"/>
      </w:pPr>
      <w:r>
        <w:t xml:space="preserve">2026-07-18</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functional trait data, and pairwise mutualistic interactions to estimate functional trophic asymmetry across the Neotropics. To overcome incomplete interaction data, we trained machine-learning models to downscale a continental interaction metaweb into grid-cell synthetic ecological networks. Functional richness and functional dispersion were quantified independently for palms and mammals, and FTA was estimated as the difference between trophic levels. Generalized additive models were used to relate geographic variation in FTA to major climatic gradients.</w:t>
      </w:r>
    </w:p>
    <w:p>
      <w:pPr>
        <w:pStyle w:val="Abstract"/>
      </w:pPr>
      <w:r>
        <w:rPr>
          <w:b/>
          <w:bCs/>
        </w:rPr>
        <w:t xml:space="preserve">Results:</w:t>
      </w:r>
      <w:r>
        <w:t xml:space="preserve"> </w:t>
      </w:r>
      <w:r>
        <w:t xml:space="preserve">Functional trophic asymmetry exhibited pronounced geographic variation across the Neotropics, arising primarily because climatic gradients affected mammalian functional diversity more strongly than palm functional diversity. Climatic effects differed between dimensions of functional diversity: functional richness asymmetry showed little climatic structure, whereas functional dispersion asymmetry varied strongly along a broad climatic gradient from warm, wet, climatically stable environments to colder, drier, and more seasonal regions. These patterns indicate that contemporary climate reorganizes the distribution of consumer functional strategies more readily than the breadth of functional strategies represented across trophic levels.</w:t>
      </w:r>
    </w:p>
    <w:p>
      <w:pPr>
        <w:pStyle w:val="Abstract"/>
      </w:pPr>
      <w:r>
        <w:rPr>
          <w:b/>
          <w:bCs/>
        </w:rPr>
        <w:t xml:space="preserve">Main conclusions:</w:t>
      </w:r>
      <w:r>
        <w:t xml:space="preserve"> </w:t>
      </w:r>
      <w:r>
        <w:t xml:space="preserve">Differential climatic filtering across trophic levels generates geographic variation in functional trophic asymmetry, providing a mechanistic link between broad-scale environmental gradients and the functional organization of multitrophic communities. By integrating trait-based ecology across trophic levels, FTA provides a general framework for investigating how environmental change reshapes interaction niches and the functional organization of ecological networks across ecosystems.</w:t>
      </w:r>
    </w:p>
    <w:bookmarkStart w:id="24" w:name="introduction"/>
    <w:p>
      <w:pPr>
        <w:pStyle w:val="Heading2"/>
      </w:pPr>
      <w:r>
        <w:t xml:space="preserve">INTRODUCTION</w:t>
      </w:r>
    </w:p>
    <w:p>
      <w:pPr>
        <w:pStyle w:val="FirstParagraph"/>
      </w:pPr>
      <w:r>
        <w:t xml:space="preserve">Ecologists often examine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(Kissling et al. 2012; Schleuning, García, and Tobias 2023)</w:t>
      </w:r>
      <w:r>
        <w:t xml:space="preserve">, our understanding of how assembly processes act within and between trophic levels jointly shape multitrophic communities remains limited</w:t>
      </w:r>
      <w:r>
        <w:t xml:space="preserve"> </w:t>
      </w:r>
      <w:r>
        <w:t xml:space="preserve">(Guzman et al. 2019; Marjakangas et al. 2022)</w:t>
      </w:r>
      <w:r>
        <w:t xml:space="preserve">.</w:t>
      </w:r>
    </w:p>
    <w:p>
      <w:pPr>
        <w:pStyle w:val="BodyText"/>
      </w:pPr>
      <w:r>
        <w:t xml:space="preserve">Classical approaches to study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Functional diversity is described through complementary measures such as functional richness (FR) and functional dispersion (FDis)</w:t>
      </w:r>
      <w:r>
        <w:t xml:space="preserve"> </w:t>
      </w:r>
      <w:r>
        <w:t xml:space="preserve">(Mason et al. 2005, 2013)</w:t>
      </w:r>
      <w:r>
        <w:t xml:space="preserve">. Functional richness is often used to estimate the strength of which environmental filtering constrains the morphological specialization of species assemblages. Functional richness typically measures the total variability of functional traits observed in a community. High functional richness can indicate weak environmental selection whereas low functional richness can indicate strong selection. Functional dispersion is often used to estimate the strength to which species partition the local trait space. Functional dispersion typically measures the degree of species clustering within a community trait space</w:t>
      </w:r>
      <w:r>
        <w:t xml:space="preserve"> </w:t>
      </w:r>
      <w:r>
        <w:t xml:space="preserve">(Mason et al. 2005; Laliberté and Legendre 2010; Kraft and Ackerly 2010)</w:t>
      </w:r>
      <w:r>
        <w:t xml:space="preserve">. High functional dispersion can indicate the coexistence of functionally distinct species, whereas low functional dispersion can indicate trait convergence</w:t>
      </w:r>
      <w:r>
        <w:t xml:space="preserve"> </w:t>
      </w:r>
      <w:r>
        <w:t xml:space="preserve">(Kraft, Valencia, and Ackerly 2008; Halpern and Floeter 2008; Paine et al. 2011)</w:t>
      </w:r>
      <w:r>
        <w:t xml:space="preserve">.</w:t>
      </w:r>
    </w:p>
    <w:p>
      <w:pPr>
        <w:pStyle w:val="BodyText"/>
      </w:pPr>
      <w:r>
        <w:t xml:space="preserve">In a multitrophic context, where traits mediating species interactions (e.g. plant fruit size - animal body size) across trophic levels can also mediate the responses of species to gradients in their abiotic environment (e.g. water availability – temperature)</w:t>
      </w:r>
      <w:r>
        <w:t xml:space="preserve"> </w:t>
      </w:r>
      <w:r>
        <w:t xml:space="preserve">(McCain and King 2014; Moretti and Legg 2009; Dehling, Barreto, and Graham 2022)</w:t>
      </w:r>
      <w:r>
        <w:t xml:space="preserve">, the effects of environmental filtering can cascade to other trophic levels such that the environment filters on consumer traits can shape the functional richness or dispersion of their resources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These differences may generate asymmetrical patterns of functional richness and dispersion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 scale patterns of interaction assembly and possibly constrain the structure or topologies of trophic networks</w:t>
      </w:r>
      <w:r>
        <w:t xml:space="preserve"> </w:t>
      </w:r>
      <w:r>
        <w:t xml:space="preserve">(Blüthgen, Menzel, and Blüthgen 2006; Schleuning et al. 2012; Saravia et al. 2022; Dehling, Barreto, and Graham 2022)</w:t>
      </w:r>
      <w:r>
        <w:t xml:space="preserve">.</w:t>
      </w:r>
    </w:p>
    <w:p>
      <w:pPr>
        <w:pStyle w:val="BodyText"/>
      </w:pPr>
      <w:r>
        <w:t xml:space="preserve">Here, we introduce the concept of functional trophic asymmetry (FTA), which allows inferring the difference of environmental filtering pressures on the functional diversity of multitrophic assemblages (</w:t>
      </w:r>
      <w:hyperlink w:anchor="fig-01">
        <w:r>
          <w:rPr>
            <w:rStyle w:val="Hyperlink"/>
          </w:rPr>
          <w:t xml:space="preserve">Figure 1</w:t>
        </w:r>
      </w:hyperlink>
      <w:r>
        <w:t xml:space="preserve">). FTA is the difference of standardized effect sizes (Z-scores) of functional richness and functional dispersion between trophic levels. FTA can occur because traits mediating species interactions (i.e., interaction niches) across trophic levels can also mediate the responses of species to their abiotic environment (i.e., environmental niches)</w:t>
      </w:r>
      <w:r>
        <w:t xml:space="preserve"> </w:t>
      </w:r>
      <w:r>
        <w:t xml:space="preserve">(McCain and King 2014; Moretti and Legg 2009; Dehling et al. 2021)</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For functional richness, high FTA could indicate differences in the strength of environmental selection over the interaction niches of distinct trophic levels within a multitrophic species assemblage. Alternatively, low FTA could indicate that the strength of the environment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(Dehling et al. 2021; Albrecht et al. 2018)</w:t>
      </w:r>
      <w:r>
        <w:t xml:space="preserve">. For functional dispersion, FTA can be an indicator variation in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their mammalian frugivores are important to sustain biodiversity and ecosystem function in tropical ecosystems</w:t>
      </w:r>
      <w:r>
        <w:t xml:space="preserve"> </w:t>
      </w:r>
      <w:r>
        <w:t xml:space="preserve">(Bogoni, Peres, and Ferraz 2020; Marques Dracxler and Kissling 2022)</w:t>
      </w:r>
      <w:r>
        <w:t xml:space="preserve">. Mammalian frugivores facilitate the dispersal of palm fruits, which helps to prevent local extinctions amid disturbance and to maintain biodiversity in these ecological networks</w:t>
      </w:r>
      <w:r>
        <w:t xml:space="preserve"> </w:t>
      </w:r>
      <w:r>
        <w:t xml:space="preserve">(Acevedo-Quintero, Zamora-Abrego, and García 2020; Messeder et al. 2021; Dehling et al. 2021)</w:t>
      </w:r>
      <w:r>
        <w:t xml:space="preserve">. To effectively preserve the structure of these interactions, it is crucial to understand how co-occurring palm (producer) and mammalian frugivore (consumer) communities will jointly respond to global climatic change. By examining the co-variation in their functional richness and functional dispersion across broad geographic scales and linking those patterns to spatial and/or temporal variation in climate (Figure 2), we identify the key climatic factors that may influence the assembly of their mutualistic relationships. Here, we ask (1) which climatic variable(s) best explain(s) geographic variation in the functional richness and dispersion of palms and mammalian frugivores, (2) whether differences in these relationships lead to FTA, and (3) which climatic variable best explains geographic variation in FTA across the Neotropics.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806701"/>
                  <wp:effectExtent b="0" l="0" r="0" t="0"/>
                  <wp:docPr descr="" title="" id="21" name="Picture"/>
                  <a:graphic>
                    <a:graphicData uri="http://schemas.openxmlformats.org/drawingml/2006/picture">
                      <pic:pic>
                        <pic:nvPicPr>
                          <pic:cNvPr descr="images/clipboard-27064191.png" id="22" name="Picture"/>
                          <pic:cNvPicPr>
                            <a:picLocks noChangeArrowheads="1" noChangeAspect="1"/>
                          </pic:cNvPicPr>
                        </pic:nvPicPr>
                        <pic:blipFill>
                          <a:blip r:embed="rId20"/>
                          <a:stretch>
                            <a:fillRect/>
                          </a:stretch>
                        </pic:blipFill>
                        <pic:spPr bwMode="auto">
                          <a:xfrm>
                            <a:off x="0" y="0"/>
                            <a:ext cx="5334000" cy="38067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(green) and consumer (orange) functional diversity to an environmental gradient. The blue shaded area represents functional trophic asymmetry (FTA), quantified as the vertical difference between trophic-level responses under identical environmental conditions. Top panels illustrate scenarios in which asymmetry is greatest at one end of the gradient and decreases toward the other, whereas bottom panels depict scenarios in which asymmetry increases or remains relatively constant across the gradient. Black vertical lines highlight the magnitude of FTA at representative positions along the environmental gradient. Barplots summarize the relative functional diversity of producers and consumers at those positions</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plant family from tropical regions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occurrence-data"/>
    <w:p>
      <w:pPr>
        <w:pStyle w:val="Heading3"/>
      </w:pPr>
      <w:r>
        <w:t xml:space="preserve">Species occurrence data</w:t>
      </w:r>
    </w:p>
    <w:p>
      <w:pPr>
        <w:pStyle w:val="FirstParagraph"/>
      </w:pPr>
      <w:r>
        <w:t xml:space="preserve">We obtained binary species distribution data (presence/absence) of palms from the geographic range maps of</w:t>
      </w:r>
      <w:r>
        <w:t xml:space="preserve"> </w:t>
      </w:r>
      <w:r>
        <w:t xml:space="preserve">(Bjorholm et al. 2005)</w:t>
      </w:r>
      <w:r>
        <w:t xml:space="preserve"> </w:t>
      </w:r>
      <w:r>
        <w:t xml:space="preserve">and on mammals from the IUCN (International Union for the Conservation of Nature) data portal. We defined multitrophic assemblages across the Neotropics, by intersecting species-level range maps with</w:t>
      </w:r>
      <w:r>
        <w:t xml:space="preserve"> </w:t>
      </w:r>
      <w:r>
        <w:t xml:space="preserve">Morrone (2014)</w:t>
      </w:r>
      <w:r>
        <w:t xml:space="preserve"> </w:t>
      </w:r>
      <w:r>
        <w:t xml:space="preserve">delineation of neotropical biogeographic provinces. A species was considered present in a province when at least 5% of its occupied range cells occurred within that province, reducing the influence of marginal overlaps between species ranges and province boundaries. Species represented by fewer than ten occupied raster cells were excluded. This procedure was applied independently to palms and mammals, producing province-level presence–absence matrices for each trophic level.</w:t>
      </w:r>
    </w:p>
    <w:bookmarkEnd w:id="26"/>
    <w:bookmarkStart w:id="27" w:name="species-trait-data"/>
    <w:p>
      <w:pPr>
        <w:pStyle w:val="Heading3"/>
      </w:pPr>
      <w:r>
        <w:t xml:space="preserve">Species trait data</w:t>
      </w:r>
    </w:p>
    <w:p>
      <w:pPr>
        <w:pStyle w:val="FirstParagraph"/>
      </w:pPr>
      <w:r>
        <w:t xml:space="preserve">We collected species-level multitrophic trait data related to the physiological tolerance of palms and frugivorous mammals to the abiotic environment and to their mutualistic interactions. For palms, we extracted data from the PalmTraits 1.0 dataset</w:t>
      </w:r>
      <w:r>
        <w:t xml:space="preserve"> </w:t>
      </w:r>
      <w:r>
        <w:t xml:space="preserve">(Kissling et al. 2019)</w:t>
      </w:r>
      <w:r>
        <w:t xml:space="preserve">. We collected data on growth form, maximum stem height, and average fruit length. For frugivorous mammals, we obtained trait data from the EltonTraits 1.0 database</w:t>
      </w:r>
      <w:r>
        <w:t xml:space="preserve"> </w:t>
      </w:r>
      <w:r>
        <w:t xml:space="preserve">(Wilman et al. 2014)</w:t>
      </w:r>
      <w:r>
        <w:t xml:space="preserve">. We selected data on body mass, diet, and daily activities. Diet data from the EltonTraits 1.0 database is coded as percentage use distribution across ten diet categories. We excluded from our analysis species without fruit in their diet. Activity was coded as a dummy variable with three categories (Diurnal, Crepuscular, Nocturnal). Finally, body mass was coded as a numerical variable in kg. We excluded bats from the analysis as almost no Neotropical bat species is feeding on palm fruits</w:t>
      </w:r>
      <w:r>
        <w:t xml:space="preserve"> </w:t>
      </w:r>
      <w:r>
        <w:t xml:space="preserve">(Messeder et al. 2021)</w:t>
      </w:r>
      <w:r>
        <w:t xml:space="preserve">. In total, we worked with a set of 494 palm species and 488 mammal frugivore species with linked trait and geographic data, which comprised respectively ~61%</w:t>
      </w:r>
      <w:r>
        <w:t xml:space="preserve"> </w:t>
      </w:r>
      <w:r>
        <w:t xml:space="preserve">(Roncal et al. 2013; Balslev et al. 2015)</w:t>
      </w:r>
      <w:r>
        <w:t xml:space="preserve"> </w:t>
      </w:r>
      <w:r>
        <w:t xml:space="preserve">and ~64%</w:t>
      </w:r>
      <w:r>
        <w:t xml:space="preserve"> </w:t>
      </w:r>
      <w:r>
        <w:t xml:space="preserve">(Fuzessy and Pizo 2025)</w:t>
      </w:r>
      <w:r>
        <w:t xml:space="preserve">of reported species for the Neotropics.</w:t>
      </w:r>
    </w:p>
    <w:bookmarkEnd w:id="27"/>
    <w:bookmarkStart w:id="32" w:name="climatic-data"/>
    <w:p>
      <w:pPr>
        <w:pStyle w:val="Heading3"/>
      </w:pPr>
      <w:r>
        <w:t xml:space="preserve">Climatic data</w:t>
      </w:r>
    </w:p>
    <w:p>
      <w:pPr>
        <w:pStyle w:val="FirstParagraph"/>
      </w:pPr>
      <w:r>
        <w:t xml:space="preserve">We used the 19 bioclimatic variables from WorldClim v2.1</w:t>
      </w:r>
      <w:r>
        <w:t xml:space="preserve"> </w:t>
      </w:r>
      <w:r>
        <w:t xml:space="preserve">(Fick and Hijmans 2017)</w:t>
      </w:r>
      <w:r>
        <w:t xml:space="preserve"> </w:t>
      </w:r>
      <w:r>
        <w:t xml:space="preserve">to characterize large-scale climatic variation across Neotropical biogeographic regions (</w:t>
      </w:r>
      <w:r>
        <w:t xml:space="preserve"> </w:t>
      </w:r>
      <w:hyperlink w:anchor="fig-02">
        <w:r>
          <w:rPr>
            <w:rStyle w:val="Hyperlink"/>
          </w:rPr>
          <w:t xml:space="preserve">Figure 2</w:t>
        </w:r>
      </w:hyperlink>
      <w:r>
        <w:t xml:space="preserve">; Figure S1). For each region, we extracted the mean value of each bioclimatic variable by averaging raster cells contained within regional boundaries. To reduce dimensionality and account for collinearity among climatic predictors, we performed a principal component analysis (PCA) on the standardized bioclimatic variables (Figure S2). The first three principal components captured the dominant gradients of climatic variation across the Neotropics. PCA effectively summarized climatic variation across biogeographic regions into three principal components that together explained 87.9% of the total variance (Figure S3). PC1 (59.7%) described a gradient from warm, wet, and climatically stable environments (negative values) to cooler and more thermally seasonal climates (positive values). PC2 (19.3%) represented variation in dry-season moisture availability, ranging from hot climates with pronounced dry seasons (negative values) to climates with wetter dry periods (positive values). PC3 (8.9%) captured a transition from temperature-driven seasonality (negative values) to precipitation-driven seasonality (positive values) (</w:t>
      </w:r>
      <w:hyperlink w:anchor="fig-02">
        <w:r>
          <w:rPr>
            <w:rStyle w:val="Hyperlink"/>
          </w:rPr>
          <w:t xml:space="preserve">Figure 2</w:t>
        </w:r>
      </w:hyperlink>
      <w:r>
        <w:t xml:space="preserve">). These linear components were subsequently used as predictors in all analyses of functional diversity and functional trophic asymmetry.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2175375"/>
                  <wp:effectExtent b="0" l="0" r="0" t="0"/>
                  <wp:docPr descr="" title="" id="29" name="Picture"/>
                  <a:graphic>
                    <a:graphicData uri="http://schemas.openxmlformats.org/drawingml/2006/picture">
                      <pic:pic>
                        <pic:nvPicPr>
                          <pic:cNvPr descr="images/clipboard-1627886034.png" id="30" name="Picture"/>
                          <pic:cNvPicPr>
                            <a:picLocks noChangeArrowheads="1" noChangeAspect="1"/>
                          </pic:cNvPicPr>
                        </pic:nvPicPr>
                        <pic:blipFill>
                          <a:blip r:embed="rId28"/>
                          <a:stretch>
                            <a:fillRect/>
                          </a:stretch>
                        </pic:blipFill>
                        <pic:spPr bwMode="auto">
                          <a:xfrm>
                            <a:off x="0" y="0"/>
                            <a:ext cx="5334000" cy="2175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Climatic principal components and their geographic distribution across biogeographic provinces in the Neotropics.</w:t>
            </w:r>
            <w:r>
              <w:t xml:space="preserve"> </w:t>
            </w:r>
            <w:r>
              <w:t xml:space="preserve">(A)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 shaded quadrants represent four broad climatic domains defined by the PCA axes: warm/stable + wet, cold/seasonal + wet, warm/stable + dry, and cold/seasonal + dry.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w:t>
            </w:r>
          </w:p>
          <w:bookmarkEnd w:id="31"/>
        </w:tc>
      </w:tr>
    </w:tbl>
    <w:bookmarkEnd w:id="32"/>
    <w:bookmarkStart w:id="33" w:name="statistical-analysis"/>
    <w:p>
      <w:pPr>
        <w:pStyle w:val="Heading3"/>
      </w:pPr>
      <w:r>
        <w:t xml:space="preserve">Statistical analysis</w:t>
      </w:r>
    </w:p>
    <w:p>
      <w:pPr>
        <w:pStyle w:val="FirstParagraph"/>
      </w:pPr>
      <w:r>
        <w:t xml:space="preserve">Functional diversity (FD) metrics were quantified from multidimensional trait spaces constructed independently for palms and mammals. Species-level functional dissimilarities were calculated using Gower distances to accommodate mixed trait types, and principal coordinates analysis (PCoA) was used to project species into continuous functional trait spaces (Figure S4). For each trophic level, we retained the minimum number of PCoA axes required to explain at least 75% of the total trait variation (Figure S5). In mammals, activity period and body mass were the primary determinants of trait-space structure, while stem height and growth form (erect vs. acaulescent) contributed most strongly to palm trait-space organization (Figure S6).</w:t>
      </w:r>
    </w:p>
    <w:p>
      <w:pPr>
        <w:pStyle w:val="BodyText"/>
      </w:pPr>
      <w:r>
        <w:t xml:space="preserve">Local FD metrics were calculated from the subset of species present within a biogeographical province. For each assemblage, we quantified species richness, functional richness (FR) and functional dispersion (FDis). Functional richness (FR) measured the occupied volume of the local assemblage within the larger trait space of the continental pool. Functional dispersion (FDis) measured the clustering of species within trait space relative to the assemblage centroid</w:t>
      </w:r>
      <w:r>
        <w:t xml:space="preserve"> </w:t>
      </w:r>
      <w:r>
        <w:t xml:space="preserve">(Laliberté and Legendre 2010)</w:t>
      </w:r>
      <w:r>
        <w:t xml:space="preserve">. Metrics were calculated separately for palms and mammals using the FD package in R</w:t>
      </w:r>
      <w:r>
        <w:t xml:space="preserve"> </w:t>
      </w:r>
      <w:r>
        <w:t xml:space="preserve">(Laliberté and Legendre 2010)</w:t>
      </w:r>
      <w:r>
        <w:t xml:space="preserve">. Biogeographic assemblages containing fewer than three species of palms and mammals respectively were excluded from estimations.</w:t>
      </w:r>
    </w:p>
    <w:p>
      <w:pPr>
        <w:pStyle w:val="BodyText"/>
      </w:pPr>
      <w:r>
        <w:t xml:space="preserve">We standardized each observed functional richness and functional dispersion metric against a richness-constrained expected metric values drawn from a distribution of null assemblages. For each palm and mammal assemblage, we generated 999 null assemblages by randomly selecting the same number of observed species from the continental species pool without replacement and recalculating FR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(FR-SES) or trait over-dispersion (Fdis-SES)</w:t>
      </w:r>
      <w:r>
        <w:t xml:space="preserve"> </w:t>
      </w:r>
      <w:r>
        <w:t xml:space="preserve">), whereas negative values indicate reduced trait-space volumes (FR-SES) and trait clustering (Fdis-SES).</w:t>
      </w:r>
    </w:p>
    <w:p>
      <w:pPr>
        <w:pStyle w:val="BodyText"/>
      </w:pPr>
      <w:r>
        <w:t xml:space="preserve">We quantified functional trophic asymmetry (FTA)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functional richness, this corresponds to mammals occupying a relatively larger volume of functional trait space than expected given species richness. For functional dispersion,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 or greater functional overdispersion (FDis) than mammals.</w:t>
      </w:r>
    </w:p>
    <w:p>
      <w:pPr>
        <w:pStyle w:val="BodyText"/>
      </w:pPr>
      <w:r>
        <w:t xml:space="preserve">To assess climatic influences on functional trophic asymmetry, we fitted separate Generalized Additive Models (GAMs) for FTA-FR and FTA-FDis using the three climatic principal components described above as predictors. GAMs are allowed for non-linear responses through penalized smooth functions</w:t>
      </w:r>
      <w:r>
        <w:t xml:space="preserve"> </w:t>
      </w:r>
      <w:r>
        <w:t xml:space="preserve">(Wood and N 2017)</w:t>
      </w:r>
      <w:r>
        <w:t xml:space="preserve">, with separate smooths fitted for each climatic predictor. Visual inspection of diagnostic plots indicated that Gaussian model assumptions were adequately met, with no evidence of systematic residual patterns or heteroscedasticity (Figure S7, S8).</w:t>
      </w:r>
    </w:p>
    <w:bookmarkEnd w:id="33"/>
    <w:bookmarkEnd w:id="34"/>
    <w:bookmarkStart w:id="53" w:name="results"/>
    <w:p>
      <w:pPr>
        <w:pStyle w:val="Heading2"/>
      </w:pPr>
      <w:r>
        <w:t xml:space="preserve">RESULTS</w:t>
      </w:r>
    </w:p>
    <w:bookmarkStart w:id="39" w:name="X483e8bbb56bb7fdc887fa8d7256cf28df13dd98"/>
    <w:p>
      <w:pPr>
        <w:pStyle w:val="Heading3"/>
      </w:pPr>
      <w:r>
        <w:t xml:space="preserve">Spatial distribution of trophic functional diversity and asymmetry</w:t>
      </w:r>
    </w:p>
    <w:p>
      <w:pPr>
        <w:pStyle w:val="FirstParagraph"/>
      </w:pPr>
      <w:r>
        <w:t xml:space="preserve">Functional diversity exhibited marked geographic variation across the Neotropics. Palm functional richness was generally highest in Central America and parts of eastern and southern South America (</w:t>
      </w:r>
      <w:hyperlink w:anchor="fig-03">
        <w:r>
          <w:rPr>
            <w:rStyle w:val="Hyperlink"/>
          </w:rPr>
          <w:t xml:space="preserve">Figure 3</w:t>
        </w:r>
      </w:hyperlink>
      <w:r>
        <w:t xml:space="preserve"> </w:t>
      </w:r>
      <w:r>
        <w:t xml:space="preserve">(A)), whereas mammal functional richness was highest in eastern Brazil but comparatively low across much of Amazonia and western South America (</w:t>
      </w:r>
      <w:hyperlink w:anchor="fig-03">
        <w:r>
          <w:rPr>
            <w:rStyle w:val="Hyperlink"/>
          </w:rPr>
          <w:t xml:space="preserve">Figure 3</w:t>
        </w:r>
      </w:hyperlink>
      <w:r>
        <w:t xml:space="preserve"> </w:t>
      </w:r>
      <w:r>
        <w:t xml:space="preserve">(B)). Consequently, functional trophic asymmetry in richness exhibited a pronounced west–east gradient (</w:t>
      </w:r>
      <w:hyperlink w:anchor="fig-03">
        <w:r>
          <w:rPr>
            <w:rStyle w:val="Hyperlink"/>
          </w:rPr>
          <w:t xml:space="preserve">Figure 3</w:t>
        </w:r>
      </w:hyperlink>
      <w:r>
        <w:t xml:space="preserve"> </w:t>
      </w:r>
      <w:r>
        <w:t xml:space="preserve">(C)), with palm assemblages exceeding mammal assemblages across much of Amazonia and mammal assemblages exhibiting relatively greater functional richness in eastern South America. Patterns of functional dispersion differed from those of richness. Palm functional dispersion peaked in southeastern Brazil (</w:t>
      </w:r>
      <w:hyperlink w:anchor="fig-03">
        <w:r>
          <w:rPr>
            <w:rStyle w:val="Hyperlink"/>
          </w:rPr>
          <w:t xml:space="preserve">Figure 3</w:t>
        </w:r>
      </w:hyperlink>
      <w:r>
        <w:t xml:space="preserve"> </w:t>
      </w:r>
      <w:r>
        <w:t xml:space="preserve">(D)), whereas mammal functional dispersion was elevated throughout much of tropical South America (</w:t>
      </w:r>
      <w:hyperlink w:anchor="fig-03">
        <w:r>
          <w:rPr>
            <w:rStyle w:val="Hyperlink"/>
          </w:rPr>
          <w:t xml:space="preserve">Figure 3</w:t>
        </w:r>
      </w:hyperlink>
      <w:r>
        <w:t xml:space="preserve"> </w:t>
      </w:r>
      <w:r>
        <w:t xml:space="preserve">(E)). Functional trophic asymmetry in dispersion displayed a distinct spatial pattern characterized by broadly positive values across much of the Neotropics but negative values concentrated in southeastern Brazil (</w:t>
      </w:r>
      <w:hyperlink w:anchor="fig-03">
        <w:r>
          <w:rPr>
            <w:rStyle w:val="Hyperlink"/>
          </w:rPr>
          <w:t xml:space="preserve">Figure 3</w:t>
        </w:r>
      </w:hyperlink>
      <w:r>
        <w:t xml:space="preserve"> </w:t>
      </w:r>
      <w:r>
        <w:t xml:space="preserve">(F)).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3444425"/>
                  <wp:effectExtent b="0" l="0" r="0" t="0"/>
                  <wp:docPr descr="" title="" id="36" name="Picture"/>
                  <a:graphic>
                    <a:graphicData uri="http://schemas.openxmlformats.org/drawingml/2006/picture">
                      <pic:pic>
                        <pic:nvPicPr>
                          <pic:cNvPr descr="images/clipboard-2754028270.png" id="37" name="Picture"/>
                          <pic:cNvPicPr>
                            <a:picLocks noChangeArrowheads="1" noChangeAspect="1"/>
                          </pic:cNvPicPr>
                        </pic:nvPicPr>
                        <pic:blipFill>
                          <a:blip r:embed="rId35"/>
                          <a:stretch>
                            <a:fillRect/>
                          </a:stretch>
                        </pic:blipFill>
                        <pic:spPr bwMode="auto">
                          <a:xfrm>
                            <a:off x="0" y="0"/>
                            <a:ext cx="5334000" cy="34444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Spatial patterns of functional richness, functional dispersion, and functional trophic asymmetry across Neotropical biogeographic provinces.</w:t>
            </w:r>
            <w:r>
              <w:t xml:space="preserve"> </w:t>
            </w:r>
            <w:r>
              <w:t xml:space="preserve">Maps show standardized effect sizes (SES) of functional richness (top row) and functional dispersion (bottom row) for palm assemblages (left column), mammal assemblages (middle column), and functional trophic asymmetry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baafd4365c0e03b0837898a8ae4bfc30be6d4cc"/>
    <w:p>
      <w:pPr>
        <w:pStyle w:val="Heading3"/>
      </w:pPr>
      <w:r>
        <w:t xml:space="preserve">The influence of climate on the functional diversity of palms and mammals</w:t>
      </w:r>
    </w:p>
    <w:p>
      <w:pPr>
        <w:pStyle w:val="FirstParagraph"/>
      </w:pPr>
      <w:r>
        <w:t xml:space="preserve">Precipitation seasonality and dry-season severity shaped mammal functional richness but had little influence on palm functional richness (</w:t>
      </w:r>
      <w:hyperlink w:anchor="fig-04">
        <w:r>
          <w:rPr>
            <w:rStyle w:val="Hyperlink"/>
          </w:rPr>
          <w:t xml:space="preserve">Figure 4</w:t>
        </w:r>
      </w:hyperlink>
      <w:r>
        <w:t xml:space="preserve"> </w:t>
      </w:r>
      <w:r>
        <w:t xml:space="preserve">(A-B), Table 1). Mammal SES functional richness was significantly associated with PC2, the moisture availability and dry-season intensity gradient (F = 1.23,</w:t>
      </w:r>
      <w:r>
        <w:t xml:space="preserve"> </w:t>
      </w:r>
      <w:r>
        <w:rPr>
          <w:i/>
          <w:iCs/>
        </w:rPr>
        <w:t xml:space="preserve">P</w:t>
      </w:r>
      <w:r>
        <w:t xml:space="preserve"> </w:t>
      </w:r>
      <w:r>
        <w:t xml:space="preserve">= 0.022), while PC1 showed a weak, non-significant trend (</w:t>
      </w:r>
      <w:r>
        <w:rPr>
          <w:i/>
          <w:iCs/>
        </w:rPr>
        <w:t xml:space="preserve">P</w:t>
      </w:r>
      <w:r>
        <w:t xml:space="preserve"> </w:t>
      </w:r>
      <w:r>
        <w:t xml:space="preserve">= 0.101) (Table 1). The mammal model explained 19.8% of the deviance (adjusted R² = 0.140) (Table 2). In contrast, Palm SES functional richness showed no significant relationship with any climatic axis, with the model explaining only 4.1% of the deviance (adjusted R² = 0.025) (Tables 1, 2). Temperature seasonality, moisture availability, and climatic stability shaped mammal functional dispersion but had comparatively little influence on palm functional dispersion (</w:t>
      </w:r>
      <w:hyperlink w:anchor="fig-04">
        <w:r>
          <w:rPr>
            <w:rStyle w:val="Hyperlink"/>
          </w:rPr>
          <w:t xml:space="preserve">Figure 4</w:t>
        </w:r>
      </w:hyperlink>
      <w:r>
        <w:t xml:space="preserve"> </w:t>
      </w:r>
      <w:r>
        <w:t xml:space="preserve">(C-D), Table 1). Mammal SES functional dispersion was significantly associated with both PC1, the broad temperature–seasonality gradient (F = 1.99,</w:t>
      </w:r>
      <w:r>
        <w:t xml:space="preserve"> </w:t>
      </w:r>
      <w:r>
        <w:rPr>
          <w:i/>
          <w:iCs/>
        </w:rPr>
        <w:t xml:space="preserve">P</w:t>
      </w:r>
      <w:r>
        <w:t xml:space="preserve"> </w:t>
      </w:r>
      <w:r>
        <w:t xml:space="preserve">= 0.007), while PC2 showed a marginal effect (</w:t>
      </w:r>
      <w:r>
        <w:rPr>
          <w:i/>
          <w:iCs/>
        </w:rPr>
        <w:t xml:space="preserve">P</w:t>
      </w:r>
      <w:r>
        <w:t xml:space="preserve"> </w:t>
      </w:r>
      <w:r>
        <w:t xml:space="preserve">= 0.071) (Table 1). The mammal model explained 32.2% of the deviance (adjusted R² = 0.265) (Table 2). In contrast, Palm SES functional dispersion showed only a weak, non-significant association with PC1, the temperature–seasonality gradient (F = 0.72,</w:t>
      </w:r>
      <w:r>
        <w:t xml:space="preserve"> </w:t>
      </w:r>
      <w:r>
        <w:rPr>
          <w:i/>
          <w:iCs/>
        </w:rPr>
        <w:t xml:space="preserve">P</w:t>
      </w:r>
      <w:r>
        <w:t xml:space="preserve"> </w:t>
      </w:r>
      <w:r>
        <w:t xml:space="preserve">= 0.091), while PC2 had no significant effects (Table 1). The palm model explained 14.4% of the deviance (adjusted R² = 0.098) (Table 2).  Climatic gradients remained robust predictors of multitrophic functional diversity after controlling for biogeographical spatial structure (Figure S9). Specifically, model support remained virtually unchanged for palm functional richness, mammal functional dispersion (ΔAIC &lt; 1). However, models of palm functional dispersion showed a modest improvement after accounting for space (ΔAIC = 3.85), whereas mammal functional richness exhibited a substantial increase in model support (ΔAIC = 22.6; deviance explained = 70.3%) (Table 2).</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3206298"/>
                  <wp:effectExtent b="0" l="0" r="0" t="0"/>
                  <wp:docPr descr="" title="" id="41" name="Picture"/>
                  <a:graphic>
                    <a:graphicData uri="http://schemas.openxmlformats.org/drawingml/2006/picture">
                      <pic:pic>
                        <pic:nvPicPr>
                          <pic:cNvPr descr="images/clipboard-1521849533.png" id="42" name="Picture"/>
                          <pic:cNvPicPr>
                            <a:picLocks noChangeArrowheads="1" noChangeAspect="1"/>
                          </pic:cNvPicPr>
                        </pic:nvPicPr>
                        <pic:blipFill>
                          <a:blip r:embed="rId40"/>
                          <a:stretch>
                            <a:fillRect/>
                          </a:stretch>
                        </pic:blipFill>
                        <pic:spPr bwMode="auto">
                          <a:xfrm>
                            <a:off x="0" y="0"/>
                            <a:ext cx="5334000" cy="32062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Figure 4. Climatic responses of producer and consumer functional diversity across the two major climatic gradients.</w:t>
            </w:r>
            <w:r>
              <w:t xml:space="preserve"> </w:t>
            </w:r>
            <w:r>
              <w:t xml:space="preserve">Partial effects from generalized additive models relating climatic principal components to functional richness (FR; left column) and functional dispersion (FDis; right column) of palm (green) and mammal (orange) assemblages. (A) FR responses to PC1. (B) FDis responses to PC1. (C) FR responses to PC2. (D) FDis responses to PC2. Solid lines represent fitted smooth functions and shaded ribbons denote ±2 standard errors. Principal components summarize multivariate climatic variation derived from 19 bioclimatic variables (Figure 2). Responses are shown on the scale of the model partial effects, with positive and negative values indicating increases and decreases in functional diversity relative to the model intercept, respectively.</w:t>
            </w:r>
          </w:p>
          <w:bookmarkEnd w:id="43"/>
        </w:tc>
      </w:tr>
    </w:tbl>
    <w:bookmarkEnd w:id="44"/>
    <w:bookmarkStart w:id="52" w:name="Xe1833435beaabad76f06447a23de9daf1195762"/>
    <w:p>
      <w:pPr>
        <w:pStyle w:val="Heading3"/>
      </w:pPr>
      <w:r>
        <w:t xml:space="preserve">The influence of climate on functional trophic asymmetry</w:t>
      </w:r>
    </w:p>
    <w:p>
      <w:pPr>
        <w:pStyle w:val="FirstParagraph"/>
      </w:pPr>
      <w:r>
        <w:t xml:space="preserve">The influence of climate differed markedly between the two dimensions of functional diversity. Functional richness asymmetry exhibited little climatic structure, with no significant relationships along any climatic gradient and climate explaining only 1.4% of the deviance. Consistent with this result, mean standardized effect sizes for palms, mammals, and functional trophic asymmetry varied only modestly among climatic domains, with confidence intervals broadly overlapping zero (</w:t>
      </w:r>
      <w:hyperlink w:anchor="fig-05">
        <w:r>
          <w:rPr>
            <w:rStyle w:val="Hyperlink"/>
          </w:rPr>
          <w:t xml:space="preserve">Figure 5</w:t>
        </w:r>
      </w:hyperlink>
      <w:r>
        <w:t xml:space="preserve">). In contrast, functional dispersion asymmetry emerged because palms and mammals responded differently to the primary climatic gradient (PC1), which was the only significant predictor of asymmetry (F = 2.86, P = 0.002), explaining 29.4% of the deviance (adjusted R² = 0.243), whereas PC2 had no detectable effect (Figure S10; Table 1). In warm, climatically stable regions, palm assemblages were more functionally clustered than expected from null models (negative SES FDis), whereas mammal assemblages were more functionally overdispersed (positive SES FDis). These contrasting responses generated strong positive functional trophic asymmetry, indicating that consumers occupied a more evenly distributed functional space than producers under the same environmental conditions. By contrast, in colder and more seasonal climates, both trophic levels converged toward null expectations, reducing differences in their functional organization and causing functional trophic asymmetry to approach zero (</w:t>
      </w:r>
      <w:hyperlink w:anchor="fig-05">
        <w:r>
          <w:rPr>
            <w:rStyle w:val="Hyperlink"/>
          </w:rPr>
          <w:t xml:space="preserve">Figure 5</w:t>
        </w:r>
      </w:hyperlink>
      <w:r>
        <w:t xml:space="preserve">; Figure S11). Accounting for geographic structure had negligible effects on either functional trophic asymmetry metric (ΔAIC &lt; 1; Figure S7).</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2636719"/>
                  <wp:effectExtent b="0" l="0" r="0" t="0"/>
                  <wp:docPr descr="" title="" id="46" name="Picture"/>
                  <a:graphic>
                    <a:graphicData uri="http://schemas.openxmlformats.org/drawingml/2006/picture">
                      <pic:pic>
                        <pic:nvPicPr>
                          <pic:cNvPr descr="images/clipboard-1943701820.png" id="47" name="Picture"/>
                          <pic:cNvPicPr>
                            <a:picLocks noChangeArrowheads="1" noChangeAspect="1"/>
                          </pic:cNvPicPr>
                        </pic:nvPicPr>
                        <pic:blipFill>
                          <a:blip r:embed="rId45"/>
                          <a:stretch>
                            <a:fillRect/>
                          </a:stretch>
                        </pic:blipFill>
                        <pic:spPr bwMode="auto">
                          <a:xfrm>
                            <a:off x="0" y="0"/>
                            <a:ext cx="5334000" cy="263671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Functional richness, functional dispersion, and functional trophic asymmetry across major climatic domains.</w:t>
            </w:r>
            <w:r>
              <w:t xml:space="preserve"> </w:t>
            </w:r>
            <w:r>
              <w:t xml:space="preserve">Mean standardized effect sizes (SES ± 95% confidence intervals) of palm (green) and mammal (orange) assemblages, together with functional trophic asymmetry (FTA; grey), across climatic domains defined by moisture availability (wet versus dry) and the temperature–seasonality gradient (warm/stable versus cold/seasonal). Upper panels show functional richness (FRic) and lower panels show functional dispersion (FDis). Positive SES values indicate greater functional diversity than expected under richness-constrained null models, whereas negative values indicate lower-than-expected functional diversity. Positive FTA values indicate greater SES in mammal assemblages relative to palm assemblages, whereas negative values indicate greater SES in palm assemblages. Error bars represent 95% confidence intervals.</w:t>
            </w:r>
          </w:p>
          <w:bookmarkEnd w:id="48"/>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gabri\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1: Significance of climatic gradients in generalized additive models of functional diversity and trophic asymmetry.</w:t>
            </w:r>
          </w:p>
        </w:tc>
      </w:tr>
      <w:tr>
        <w:trPr>
          <w:cantSplit/>
        </w:trPr>
        <w:tc>
          <w:tcPr>
            <w:tcMar>
              <w:top w:w="108" w:type="dxa"/>
              <w:bottom w:w="108" w:type="dxa"/>
            </w:tcMar>
          </w:tcPr>
          <w:p>
            <w:pPr>
              <w:pStyle w:val="BodyText"/>
            </w:pPr>
            <w:pPr>
              <w:spacing w:before="16"/>
            </w:pPr>
            <w:r>
              <w:t xml:space="preserve">Estimated degrees of freedom (EDF), F-statistics, and associated P-values for smooth terms relating the first three climatic principal components (PC1–PC3) to functional richness (FRic), functional dispersion (FDis), and functional trophic asymmetry (FTA). Climatic effects were generally weak for richness-based metrics, with only mammal FRic showing a significant association with PC2. In contrast, dispersion-based metrics exhibited stronger climatic relationships, particularly for mammal FDis, which was significantly associated with PC1 and PC3, and FTA FDis, which showed a significant association with PC1. Estimated degrees of freedom close to zero indicate little support for nonlinear responses along the corresponding climatic gradient.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Response</w:t>
                  </w:r>
                </w:p>
              </w:tc>
              <w:tc>
                <w:tcPr/>
                <w:p>
                  <w:pPr>
                    <w:pStyle w:val="Compact"/>
                  </w:pPr>
                  <w:r>
                    <w:rPr>
                      <w:b/>
                      <w:bCs/>
                    </w:rPr>
                    <w:t xml:space="preserve">PC1</w:t>
                  </w:r>
                </w:p>
              </w:tc>
              <w:tc>
                <w:tcPr/>
                <w:p>
                  <w:pPr>
                    <w:pStyle w:val="Compact"/>
                  </w:pPr>
                </w:p>
              </w:tc>
              <w:tc>
                <w:tcPr/>
                <w:p>
                  <w:pPr>
                    <w:pStyle w:val="Compact"/>
                  </w:pPr>
                </w:p>
              </w:tc>
              <w:tc>
                <w:tcPr/>
                <w:p>
                  <w:pPr>
                    <w:pStyle w:val="Compact"/>
                  </w:pPr>
                  <w:r>
                    <w:rPr>
                      <w:b/>
                      <w:bCs/>
                    </w:rPr>
                    <w:t xml:space="preserve">PC2</w:t>
                  </w:r>
                </w:p>
              </w:tc>
              <w:tc>
                <w:tcPr/>
                <w:p>
                  <w:pPr>
                    <w:pStyle w:val="Compact"/>
                  </w:pPr>
                </w:p>
              </w:tc>
              <w:tc>
                <w:tcPr/>
                <w:p>
                  <w:pPr>
                    <w:pStyle w:val="Compact"/>
                  </w:pPr>
                </w:p>
              </w:tc>
              <w:tc>
                <w:tcPr/>
                <w:p>
                  <w:pPr>
                    <w:pStyle w:val="Compact"/>
                  </w:pPr>
                  <w:r>
                    <w:rPr>
                      <w:b/>
                      <w:bCs/>
                    </w:rPr>
                    <w:t xml:space="preserve">PC3</w:t>
                  </w:r>
                </w:p>
              </w:tc>
              <w:tc>
                <w:tcPr/>
                <w:p>
                  <w:pPr>
                    <w:pStyle w:val="Compact"/>
                  </w:pPr>
                </w:p>
              </w:tc>
              <w:tc>
                <w:tcPr/>
                <w:p>
                  <w:pPr>
                    <w:pStyle w:val="Compact"/>
                  </w:pPr>
                </w:p>
              </w:tc>
            </w:tr>
            <w:tr>
              <w:tc>
                <w:tcPr/>
                <w:p>
                  <w:pPr>
                    <w:pStyle w:val="Compact"/>
                  </w:pPr>
                </w:p>
              </w:tc>
              <w:tc>
                <w:tcPr/>
                <w:p>
                  <w:pPr>
                    <w:pStyle w:val="Compact"/>
                  </w:pPr>
                  <w:r>
                    <w:t xml:space="preserve">edf</w:t>
                  </w:r>
                </w:p>
              </w:tc>
              <w:tc>
                <w:tcPr/>
                <w:p>
                  <w:pPr>
                    <w:pStyle w:val="Compact"/>
                  </w:pPr>
                  <w:r>
                    <w:t xml:space="preserve">F</w:t>
                  </w:r>
                </w:p>
              </w:tc>
              <w:tc>
                <w:tcPr/>
                <w:p>
                  <w:pPr>
                    <w:pStyle w:val="Compact"/>
                  </w:pPr>
                  <w:r>
                    <w:rPr>
                      <w:i/>
                      <w:iCs/>
                    </w:rPr>
                    <w:t xml:space="preserve">P</w:t>
                  </w:r>
                </w:p>
              </w:tc>
              <w:tc>
                <w:tcPr/>
                <w:p>
                  <w:pPr>
                    <w:pStyle w:val="Compact"/>
                  </w:pPr>
                  <w:r>
                    <w:t xml:space="preserve">edf</w:t>
                  </w:r>
                </w:p>
              </w:tc>
              <w:tc>
                <w:tcPr/>
                <w:p>
                  <w:pPr>
                    <w:pStyle w:val="Compact"/>
                  </w:pPr>
                  <w:r>
                    <w:t xml:space="preserve">F</w:t>
                  </w:r>
                </w:p>
              </w:tc>
              <w:tc>
                <w:tcPr/>
                <w:p>
                  <w:pPr>
                    <w:pStyle w:val="Compact"/>
                  </w:pPr>
                  <w:r>
                    <w:rPr>
                      <w:i/>
                      <w:iCs/>
                    </w:rPr>
                    <w:t xml:space="preserve">P</w:t>
                  </w:r>
                </w:p>
              </w:tc>
              <w:tc>
                <w:tcPr/>
                <w:p>
                  <w:pPr>
                    <w:pStyle w:val="Compact"/>
                  </w:pPr>
                  <w:r>
                    <w:t xml:space="preserve">edf</w:t>
                  </w:r>
                </w:p>
              </w:tc>
              <w:tc>
                <w:tcPr/>
                <w:p>
                  <w:pPr>
                    <w:pStyle w:val="Compact"/>
                  </w:pPr>
                  <w:r>
                    <w:t xml:space="preserve">F</w:t>
                  </w:r>
                </w:p>
              </w:tc>
              <w:tc>
                <w:tcPr/>
                <w:p>
                  <w:pPr>
                    <w:pStyle w:val="Compact"/>
                  </w:pPr>
                  <w:r>
                    <w:rPr>
                      <w:i/>
                      <w:iCs/>
                    </w:rPr>
                    <w:t xml:space="preserve">P</w:t>
                  </w:r>
                </w:p>
              </w:tc>
            </w:tr>
            <w:tr>
              <w:tc>
                <w:tcPr/>
                <w:p>
                  <w:pPr>
                    <w:pStyle w:val="Compact"/>
                  </w:pPr>
                  <w:r>
                    <w:t xml:space="preserve">Palm FRic</w:t>
                  </w:r>
                </w:p>
              </w:tc>
              <w:tc>
                <w:tcPr/>
                <w:p>
                  <w:pPr>
                    <w:pStyle w:val="Compact"/>
                  </w:pPr>
                  <w:r>
                    <w:t xml:space="preserve">0.60</w:t>
                  </w:r>
                </w:p>
              </w:tc>
              <w:tc>
                <w:tcPr/>
                <w:p>
                  <w:pPr>
                    <w:pStyle w:val="Compact"/>
                  </w:pPr>
                  <w:r>
                    <w:t xml:space="preserve">0.25</w:t>
                  </w:r>
                </w:p>
              </w:tc>
              <w:tc>
                <w:tcPr/>
                <w:p>
                  <w:pPr>
                    <w:pStyle w:val="Compact"/>
                  </w:pPr>
                  <w:r>
                    <w:t xml:space="preserve">0.201</w:t>
                  </w:r>
                </w:p>
              </w:tc>
              <w:tc>
                <w:tcPr/>
                <w:p>
                  <w:pPr>
                    <w:pStyle w:val="Compact"/>
                  </w:pPr>
                  <w:r>
                    <w:t xml:space="preserve">0.00</w:t>
                  </w:r>
                </w:p>
              </w:tc>
              <w:tc>
                <w:tcPr/>
                <w:p>
                  <w:pPr>
                    <w:pStyle w:val="Compact"/>
                  </w:pPr>
                  <w:r>
                    <w:t xml:space="preserve">0.00</w:t>
                  </w:r>
                </w:p>
              </w:tc>
              <w:tc>
                <w:tcPr/>
                <w:p>
                  <w:pPr>
                    <w:pStyle w:val="Compact"/>
                  </w:pPr>
                  <w:r>
                    <w:t xml:space="preserve">0.441</w:t>
                  </w:r>
                </w:p>
              </w:tc>
              <w:tc>
                <w:tcPr/>
                <w:p>
                  <w:pPr>
                    <w:pStyle w:val="Compact"/>
                  </w:pPr>
                  <w:r>
                    <w:t xml:space="preserve">0.00</w:t>
                  </w:r>
                </w:p>
              </w:tc>
              <w:tc>
                <w:tcPr/>
                <w:p>
                  <w:pPr>
                    <w:pStyle w:val="Compact"/>
                  </w:pPr>
                  <w:r>
                    <w:t xml:space="preserve">0.00</w:t>
                  </w:r>
                </w:p>
              </w:tc>
              <w:tc>
                <w:tcPr/>
                <w:p>
                  <w:pPr>
                    <w:pStyle w:val="Compact"/>
                  </w:pPr>
                  <w:r>
                    <w:t xml:space="preserve">0.623</w:t>
                  </w:r>
                </w:p>
              </w:tc>
            </w:tr>
            <w:tr>
              <w:tc>
                <w:tcPr/>
                <w:p>
                  <w:pPr>
                    <w:pStyle w:val="Compact"/>
                  </w:pPr>
                  <w:r>
                    <w:t xml:space="preserve">Palm FDis</w:t>
                  </w:r>
                </w:p>
              </w:tc>
              <w:tc>
                <w:tcPr/>
                <w:p>
                  <w:pPr>
                    <w:pStyle w:val="Compact"/>
                  </w:pPr>
                  <w:r>
                    <w:t xml:space="preserve">1.19</w:t>
                  </w:r>
                </w:p>
              </w:tc>
              <w:tc>
                <w:tcPr/>
                <w:p>
                  <w:pPr>
                    <w:pStyle w:val="Compact"/>
                  </w:pPr>
                  <w:r>
                    <w:t xml:space="preserve">0.72</w:t>
                  </w:r>
                </w:p>
              </w:tc>
              <w:tc>
                <w:tcPr/>
                <w:p>
                  <w:pPr>
                    <w:pStyle w:val="Compact"/>
                  </w:pPr>
                  <w:r>
                    <w:t xml:space="preserve">0.091</w:t>
                  </w:r>
                </w:p>
              </w:tc>
              <w:tc>
                <w:tcPr/>
                <w:p>
                  <w:pPr>
                    <w:pStyle w:val="Compact"/>
                  </w:pPr>
                  <w:r>
                    <w:t xml:space="preserve">0.00</w:t>
                  </w:r>
                </w:p>
              </w:tc>
              <w:tc>
                <w:tcPr/>
                <w:p>
                  <w:pPr>
                    <w:pStyle w:val="Compact"/>
                  </w:pPr>
                  <w:r>
                    <w:t xml:space="preserve">0.00</w:t>
                  </w:r>
                </w:p>
              </w:tc>
              <w:tc>
                <w:tcPr/>
                <w:p>
                  <w:pPr>
                    <w:pStyle w:val="Compact"/>
                  </w:pPr>
                  <w:r>
                    <w:t xml:space="preserve">0.363</w:t>
                  </w:r>
                </w:p>
              </w:tc>
              <w:tc>
                <w:tcPr/>
                <w:p>
                  <w:pPr>
                    <w:pStyle w:val="Compact"/>
                  </w:pPr>
                  <w:r>
                    <w:t xml:space="preserve">0.73</w:t>
                  </w:r>
                </w:p>
              </w:tc>
              <w:tc>
                <w:tcPr/>
                <w:p>
                  <w:pPr>
                    <w:pStyle w:val="Compact"/>
                  </w:pPr>
                  <w:r>
                    <w:t xml:space="preserve">0.34</w:t>
                  </w:r>
                </w:p>
              </w:tc>
              <w:tc>
                <w:tcPr/>
                <w:p>
                  <w:pPr>
                    <w:pStyle w:val="Compact"/>
                  </w:pPr>
                  <w:r>
                    <w:t xml:space="preserve">0.159</w:t>
                  </w:r>
                </w:p>
              </w:tc>
            </w:tr>
            <w:tr>
              <w:tc>
                <w:tcPr/>
                <w:p>
                  <w:pPr>
                    <w:pStyle w:val="Compact"/>
                  </w:pPr>
                  <w:r>
                    <w:t xml:space="preserve">Mammal FRic</w:t>
                  </w:r>
                </w:p>
              </w:tc>
              <w:tc>
                <w:tcPr/>
                <w:p>
                  <w:pPr>
                    <w:pStyle w:val="Compact"/>
                  </w:pPr>
                  <w:r>
                    <w:t xml:space="preserve">1.43</w:t>
                  </w:r>
                </w:p>
              </w:tc>
              <w:tc>
                <w:tcPr/>
                <w:p>
                  <w:pPr>
                    <w:pStyle w:val="Compact"/>
                  </w:pPr>
                  <w:r>
                    <w:t xml:space="preserve">0.83</w:t>
                  </w:r>
                </w:p>
              </w:tc>
              <w:tc>
                <w:tcPr/>
                <w:p>
                  <w:pPr>
                    <w:pStyle w:val="Compact"/>
                  </w:pPr>
                  <w:r>
                    <w:t xml:space="preserve">0.101</w:t>
                  </w:r>
                </w:p>
              </w:tc>
              <w:tc>
                <w:tcPr/>
                <w:p>
                  <w:pPr>
                    <w:pStyle w:val="Compact"/>
                  </w:pPr>
                  <w:r>
                    <w:t xml:space="preserve">1.17</w:t>
                  </w:r>
                </w:p>
              </w:tc>
              <w:tc>
                <w:tcPr/>
                <w:p>
                  <w:pPr>
                    <w:pStyle w:val="Compact"/>
                  </w:pPr>
                  <w:r>
                    <w:t xml:space="preserve">1.23</w:t>
                  </w:r>
                </w:p>
              </w:tc>
              <w:tc>
                <w:tcPr/>
                <w:p>
                  <w:pPr>
                    <w:pStyle w:val="Compact"/>
                  </w:pPr>
                  <w:r>
                    <w:rPr>
                      <w:b/>
                      <w:bCs/>
                    </w:rPr>
                    <w:t xml:space="preserve">0.022</w:t>
                  </w:r>
                </w:p>
              </w:tc>
              <w:tc>
                <w:tcPr/>
                <w:p>
                  <w:pPr>
                    <w:pStyle w:val="Compact"/>
                  </w:pPr>
                  <w:r>
                    <w:t xml:space="preserve">0.00</w:t>
                  </w:r>
                </w:p>
              </w:tc>
              <w:tc>
                <w:tcPr/>
                <w:p>
                  <w:pPr>
                    <w:pStyle w:val="Compact"/>
                  </w:pPr>
                  <w:r>
                    <w:t xml:space="preserve">0.00</w:t>
                  </w:r>
                </w:p>
              </w:tc>
              <w:tc>
                <w:tcPr/>
                <w:p>
                  <w:pPr>
                    <w:pStyle w:val="Compact"/>
                  </w:pPr>
                  <w:r>
                    <w:t xml:space="preserve">0.634</w:t>
                  </w:r>
                </w:p>
              </w:tc>
            </w:tr>
            <w:tr>
              <w:tc>
                <w:tcPr/>
                <w:p>
                  <w:pPr>
                    <w:pStyle w:val="Compact"/>
                  </w:pPr>
                  <w:r>
                    <w:t xml:space="preserve">Mammal FDis</w:t>
                  </w:r>
                </w:p>
              </w:tc>
              <w:tc>
                <w:tcPr/>
                <w:p>
                  <w:pPr>
                    <w:pStyle w:val="Compact"/>
                  </w:pPr>
                  <w:r>
                    <w:t xml:space="preserve">1.45</w:t>
                  </w:r>
                </w:p>
              </w:tc>
              <w:tc>
                <w:tcPr/>
                <w:p>
                  <w:pPr>
                    <w:pStyle w:val="Compact"/>
                  </w:pPr>
                  <w:r>
                    <w:t xml:space="preserve">1.99</w:t>
                  </w:r>
                </w:p>
              </w:tc>
              <w:tc>
                <w:tcPr/>
                <w:p>
                  <w:pPr>
                    <w:pStyle w:val="Compact"/>
                  </w:pPr>
                  <w:r>
                    <w:rPr>
                      <w:b/>
                      <w:bCs/>
                    </w:rPr>
                    <w:t xml:space="preserve">0.007</w:t>
                  </w:r>
                </w:p>
              </w:tc>
              <w:tc>
                <w:tcPr/>
                <w:p>
                  <w:pPr>
                    <w:pStyle w:val="Compact"/>
                  </w:pPr>
                  <w:r>
                    <w:t xml:space="preserve">0.69</w:t>
                  </w:r>
                </w:p>
              </w:tc>
              <w:tc>
                <w:tcPr/>
                <w:p>
                  <w:pPr>
                    <w:pStyle w:val="Compact"/>
                  </w:pPr>
                  <w:r>
                    <w:t xml:space="preserve">0.55</w:t>
                  </w:r>
                </w:p>
              </w:tc>
              <w:tc>
                <w:tcPr/>
                <w:p>
                  <w:pPr>
                    <w:pStyle w:val="Compact"/>
                  </w:pPr>
                  <w:r>
                    <w:t xml:space="preserve">0.071</w:t>
                  </w:r>
                </w:p>
              </w:tc>
              <w:tc>
                <w:tcPr/>
                <w:p>
                  <w:pPr>
                    <w:pStyle w:val="Compact"/>
                  </w:pPr>
                  <w:r>
                    <w:t xml:space="preserve">0.81</w:t>
                  </w:r>
                </w:p>
              </w:tc>
              <w:tc>
                <w:tcPr/>
                <w:p>
                  <w:pPr>
                    <w:pStyle w:val="Compact"/>
                  </w:pPr>
                  <w:r>
                    <w:t xml:space="preserve">1.06</w:t>
                  </w:r>
                </w:p>
              </w:tc>
              <w:tc>
                <w:tcPr/>
                <w:p>
                  <w:pPr>
                    <w:pStyle w:val="Compact"/>
                  </w:pPr>
                  <w:r>
                    <w:rPr>
                      <w:b/>
                      <w:bCs/>
                    </w:rPr>
                    <w:t xml:space="preserve">0.028</w:t>
                  </w:r>
                </w:p>
              </w:tc>
            </w:tr>
            <w:tr>
              <w:tc>
                <w:tcPr/>
                <w:p>
                  <w:pPr>
                    <w:pStyle w:val="Compact"/>
                  </w:pPr>
                  <w:r>
                    <w:t xml:space="preserve">FTA FRic</w:t>
                  </w:r>
                </w:p>
              </w:tc>
              <w:tc>
                <w:tcPr/>
                <w:p>
                  <w:pPr>
                    <w:pStyle w:val="Compact"/>
                  </w:pPr>
                  <w:r>
                    <w:t xml:space="preserve">0.00</w:t>
                  </w:r>
                </w:p>
              </w:tc>
              <w:tc>
                <w:tcPr/>
                <w:p>
                  <w:pPr>
                    <w:pStyle w:val="Compact"/>
                  </w:pPr>
                  <w:r>
                    <w:t xml:space="preserve">0.00</w:t>
                  </w:r>
                </w:p>
              </w:tc>
              <w:tc>
                <w:tcPr/>
                <w:p>
                  <w:pPr>
                    <w:pStyle w:val="Compact"/>
                  </w:pPr>
                  <w:r>
                    <w:t xml:space="preserve">0.399</w:t>
                  </w:r>
                </w:p>
              </w:tc>
              <w:tc>
                <w:tcPr/>
                <w:p>
                  <w:pPr>
                    <w:pStyle w:val="Compact"/>
                  </w:pPr>
                  <w:r>
                    <w:t xml:space="preserve">0.24</w:t>
                  </w:r>
                </w:p>
              </w:tc>
              <w:tc>
                <w:tcPr/>
                <w:p>
                  <w:pPr>
                    <w:pStyle w:val="Compact"/>
                  </w:pPr>
                  <w:r>
                    <w:t xml:space="preserve">0.08</w:t>
                  </w:r>
                </w:p>
              </w:tc>
              <w:tc>
                <w:tcPr/>
                <w:p>
                  <w:pPr>
                    <w:pStyle w:val="Compact"/>
                  </w:pPr>
                  <w:r>
                    <w:t xml:space="preserve">0.260</w:t>
                  </w:r>
                </w:p>
              </w:tc>
              <w:tc>
                <w:tcPr/>
                <w:p>
                  <w:pPr>
                    <w:pStyle w:val="Compact"/>
                  </w:pPr>
                  <w:r>
                    <w:t xml:space="preserve">0.00</w:t>
                  </w:r>
                </w:p>
              </w:tc>
              <w:tc>
                <w:tcPr/>
                <w:p>
                  <w:pPr>
                    <w:pStyle w:val="Compact"/>
                  </w:pPr>
                  <w:r>
                    <w:t xml:space="preserve">0.00</w:t>
                  </w:r>
                </w:p>
              </w:tc>
              <w:tc>
                <w:tcPr/>
                <w:p>
                  <w:pPr>
                    <w:pStyle w:val="Compact"/>
                  </w:pPr>
                  <w:r>
                    <w:t xml:space="preserve">0.979</w:t>
                  </w:r>
                </w:p>
              </w:tc>
            </w:tr>
            <w:tr>
              <w:tc>
                <w:tcPr/>
                <w:p>
                  <w:pPr>
                    <w:pStyle w:val="Compact"/>
                  </w:pPr>
                  <w:r>
                    <w:t xml:space="preserve">FTA FDis</w:t>
                  </w:r>
                </w:p>
              </w:tc>
              <w:tc>
                <w:tcPr/>
                <w:p>
                  <w:pPr>
                    <w:pStyle w:val="Compact"/>
                  </w:pPr>
                  <w:r>
                    <w:t xml:space="preserve">1.65</w:t>
                  </w:r>
                </w:p>
              </w:tc>
              <w:tc>
                <w:tcPr/>
                <w:p>
                  <w:pPr>
                    <w:pStyle w:val="Compact"/>
                  </w:pPr>
                  <w:r>
                    <w:t xml:space="preserve">2.86</w:t>
                  </w:r>
                </w:p>
              </w:tc>
              <w:tc>
                <w:tcPr/>
                <w:p>
                  <w:pPr>
                    <w:pStyle w:val="Compact"/>
                  </w:pPr>
                  <w:r>
                    <w:rPr>
                      <w:b/>
                      <w:bCs/>
                    </w:rPr>
                    <w:t xml:space="preserve">0.002</w:t>
                  </w:r>
                </w:p>
              </w:tc>
              <w:tc>
                <w:tcPr/>
                <w:p>
                  <w:pPr>
                    <w:pStyle w:val="Compact"/>
                  </w:pPr>
                  <w:r>
                    <w:t xml:space="preserve">0.92</w:t>
                  </w:r>
                </w:p>
              </w:tc>
              <w:tc>
                <w:tcPr/>
                <w:p>
                  <w:pPr>
                    <w:pStyle w:val="Compact"/>
                  </w:pPr>
                  <w:r>
                    <w:t xml:space="preserve">0.40</w:t>
                  </w:r>
                </w:p>
              </w:tc>
              <w:tc>
                <w:tcPr/>
                <w:p>
                  <w:pPr>
                    <w:pStyle w:val="Compact"/>
                  </w:pPr>
                  <w:r>
                    <w:t xml:space="preserve">0.166</w:t>
                  </w:r>
                </w:p>
              </w:tc>
              <w:tc>
                <w:tcPr/>
                <w:p>
                  <w:pPr>
                    <w:pStyle w:val="Compact"/>
                  </w:pPr>
                  <w:r>
                    <w:t xml:space="preserve">0.00</w:t>
                  </w:r>
                </w:p>
              </w:tc>
              <w:tc>
                <w:tcPr/>
                <w:p>
                  <w:pPr>
                    <w:pStyle w:val="Compact"/>
                  </w:pPr>
                  <w:r>
                    <w:t xml:space="preserve">0.00</w:t>
                  </w:r>
                </w:p>
              </w:tc>
              <w:tc>
                <w:tcPr/>
                <w:p>
                  <w:pPr>
                    <w:pStyle w:val="Compact"/>
                  </w:pPr>
                  <w:r>
                    <w:t xml:space="preserve">0.927</w:t>
                  </w:r>
                </w:p>
              </w:tc>
            </w:tr>
          </w:tbl>
        </w:tc>
      </w:tr>
    </w:tbl>
    <w:bookmarkEnd w:id="52"/>
    <w:bookmarkEnd w:id="53"/>
    <w:bookmarkStart w:id="59" w:name="discussion"/>
    <w:p>
      <w:pPr>
        <w:pStyle w:val="Heading2"/>
      </w:pPr>
      <w:r>
        <w:t xml:space="preserve">DISCUSSION</w:t>
      </w:r>
    </w:p>
    <w:p>
      <w:pPr>
        <w:pStyle w:val="FirstParagraph"/>
      </w:pPr>
      <w:r>
        <w:t xml:space="preserve">Our study reveals that functional traits relevant to the assembly of mutualistic interactions between producers (palms) and their consumers (mammalian frugivores) are differentially filtered by climate across trophic levels and geographic regions of the Neotropics. Climatic gradients exert substantially stronger effects on mammalian than palm functional diversity, with both temperature/seasonality (PC1) and moisture regime (PC2) jointly determining where functional trophic asymmetries emerge. The strongest asymmetries occurred in biogeographic regions with warm, climatically stable environments. However, its direction depended on moisture availability. In warm/stable, dry regions, mammalian assemblages were relatively more functionally dispersed than palm assemblages, whereas in warm/stable, wet regions the opposite pattern emerged, with palms exhibiting greater functional dispersion. By contrast, functional trophic asymmetry was comparatively weak across cold/seasonal climatic domains.</w:t>
      </w:r>
    </w:p>
    <w:bookmarkStart w:id="56" w:name="the-influence-of-climate-on-fta"/>
    <w:p>
      <w:pPr>
        <w:pStyle w:val="Heading3"/>
      </w:pPr>
      <w:r>
        <w:t xml:space="preserve">The influence of climate on FTA</w:t>
      </w:r>
    </w:p>
    <w:p>
      <w:pPr>
        <w:pStyle w:val="FirstParagraph"/>
      </w:pPr>
      <w:r>
        <w:t xml:space="preserve">Functional trophic asymmetry emerged because climate influenced mammal functional diversity more strongly than palm functional diversity, with stronger effects on functional dispersion than on functional richness. The stronger climatic signal for mammalian functional dispersion is consistent with previous observations of ecological packing in species-rich tropical assemblages, where warm, productive and climatically stable environments promote the coexistence of functionally similar species</w:t>
      </w:r>
      <w:r>
        <w:t xml:space="preserve"> </w:t>
      </w:r>
      <w:r>
        <w:t xml:space="preserve">(Kraft et al. 2015; Safi et al. 2011; González-Maya et al. 2017)</w:t>
      </w:r>
      <w:r>
        <w:t xml:space="preserve">. Increased packing of consumer functional space is expected to increase overlap in potential interaction niches, allowing multiple mammal species to exploit similar sets of palm resources. Consequently, contemporary climate may reshape the organization of mutualistic interactions primarily by reorganizing consumer functional space rather than by changing the breadth of ecological strategies available for palm seed dispersal. The comparatively weak climatic response of palm functional diversity suggests that producer functional traits are buffered against contemporary climatic filtering. Mammalian functional traits may respond more rapidly to energetic constraints and resource availability</w:t>
      </w:r>
      <w:r>
        <w:t xml:space="preserve"> </w:t>
      </w:r>
      <w:r>
        <w:t xml:space="preserve">(Boratyński 2021; Brandl et al. 2023)</w:t>
      </w:r>
      <w:r>
        <w:t xml:space="preserve">, whereas palm functional traits are likely constrained by longer generation times and stronger historical legacies. This interpretation is consistent with evidence that present-day palm assemblages retain a strong imprint of past climatic conditions, reducing their sensitivity to contemporary environmental gradients</w:t>
      </w:r>
      <w:r>
        <w:t xml:space="preserve"> </w:t>
      </w:r>
      <w:r>
        <w:t xml:space="preserve">(Kissling et al. 2012; Göldel, Böhning-Gaese, and Schleuning 2015)</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gabri\AppData\Local\Programs\Quarto\share\formats\docx\note.png" id="5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2: Performance of generalized additive models relating climatic gradients to functional diversity and trophic asymmetry across Neotropical biogeographic provinces.</w:t>
            </w:r>
          </w:p>
        </w:tc>
      </w:tr>
      <w:tr>
        <w:trPr>
          <w:cantSplit/>
        </w:trPr>
        <w:tc>
          <w:tcPr>
            <w:tcMar>
              <w:top w:w="108" w:type="dxa"/>
              <w:bottom w:w="108" w:type="dxa"/>
            </w:tcMar>
          </w:tcPr>
          <w:p>
            <w:pPr>
              <w:pStyle w:val="BodyText"/>
            </w:pPr>
            <w:pPr>
              <w:spacing w:before="16"/>
            </w:pPr>
            <w:r>
              <w:t xml:space="preserve">Model performance is summarized by the percentage of deviance explained, adjusted R², Akaike Information Criterion (AIC), and the change in AIC following the inclusion of spatial structure (ΔAIC). Positive ΔAIC values indicate support for including spatial predictors, whereas negative values indicate no improvement over climate-only models.</w:t>
            </w:r>
          </w:p>
          <w:tbl>
            <w:tblPr>
              <w:tblStyle w:val="Table"/>
              <w:tblW w:type="pct" w:w="5000"/>
              <w:tblLayout w:type="fixed"/>
              <w:tblLook w:firstRow="1" w:lastRow="0" w:firstColumn="0" w:lastColumn="0" w:noHBand="0" w:noVBand="0" w:val="0020"/>
            </w:tblPr>
            <w:tblGrid>
              <w:gridCol w:w="1391"/>
              <w:gridCol w:w="2568"/>
              <w:gridCol w:w="1605"/>
              <w:gridCol w:w="1284"/>
              <w:gridCol w:w="1070"/>
            </w:tblGrid>
            <w:tr>
              <w:trPr>
                <w:tblHeader w:val="on"/>
              </w:trPr>
              <w:tc>
                <w:tcPr/>
                <w:p>
                  <w:pPr>
                    <w:pStyle w:val="Compact"/>
                  </w:pPr>
                  <w:r>
                    <w:t xml:space="preserve">Response</w:t>
                  </w:r>
                </w:p>
              </w:tc>
              <w:tc>
                <w:tcPr/>
                <w:p>
                  <w:pPr>
                    <w:pStyle w:val="Compact"/>
                  </w:pPr>
                  <w:r>
                    <w:t xml:space="preserve">Deviance explained (%)</w:t>
                  </w:r>
                </w:p>
              </w:tc>
              <w:tc>
                <w:tcPr/>
                <w:p>
                  <w:pPr>
                    <w:pStyle w:val="Compact"/>
                  </w:pPr>
                  <w:r>
                    <w:t xml:space="preserve">Adjusted</w:t>
                  </w:r>
                  <w:r>
                    <w:t xml:space="preserve"> </w:t>
                  </w:r>
                  <w:r>
                    <w:rPr>
                      <w:i/>
                      <w:iCs/>
                    </w:rPr>
                    <w:t xml:space="preserve">R</w:t>
                  </w:r>
                  <w:r>
                    <w:t xml:space="preserve">²</w:t>
                  </w:r>
                </w:p>
              </w:tc>
              <w:tc>
                <w:tcPr/>
                <w:p>
                  <w:pPr>
                    <w:pStyle w:val="Compact"/>
                  </w:pPr>
                  <w:r>
                    <w:t xml:space="preserve">AIC</w:t>
                  </w:r>
                </w:p>
              </w:tc>
              <w:tc>
                <w:tcPr/>
                <w:p>
                  <w:pPr>
                    <w:pStyle w:val="Compact"/>
                  </w:pPr>
                  <w:r>
                    <w:t xml:space="preserve">ΔAIC</w:t>
                  </w:r>
                </w:p>
              </w:tc>
            </w:tr>
            <w:tr>
              <w:tc>
                <w:tcPr/>
                <w:p>
                  <w:pPr>
                    <w:pStyle w:val="Compact"/>
                  </w:pPr>
                  <w:r>
                    <w:t xml:space="preserve">Palm FR</w:t>
                  </w:r>
                </w:p>
              </w:tc>
              <w:tc>
                <w:tcPr/>
                <w:p>
                  <w:pPr>
                    <w:pStyle w:val="Compact"/>
                  </w:pPr>
                  <w:r>
                    <w:t xml:space="preserve">4.1</w:t>
                  </w:r>
                </w:p>
              </w:tc>
              <w:tc>
                <w:tcPr/>
                <w:p>
                  <w:pPr>
                    <w:pStyle w:val="Compact"/>
                  </w:pPr>
                  <w:r>
                    <w:t xml:space="preserve">0.025</w:t>
                  </w:r>
                </w:p>
              </w:tc>
              <w:tc>
                <w:tcPr/>
                <w:p>
                  <w:pPr>
                    <w:pStyle w:val="Compact"/>
                  </w:pPr>
                  <w:r>
                    <w:t xml:space="preserve">118.07</w:t>
                  </w:r>
                </w:p>
              </w:tc>
              <w:tc>
                <w:tcPr/>
                <w:p>
                  <w:pPr>
                    <w:pStyle w:val="Compact"/>
                  </w:pPr>
                  <w:r>
                    <w:t xml:space="preserve">-0.38</w:t>
                  </w:r>
                </w:p>
              </w:tc>
            </w:tr>
            <w:tr>
              <w:tc>
                <w:tcPr/>
                <w:p>
                  <w:pPr>
                    <w:pStyle w:val="Compact"/>
                  </w:pPr>
                  <w:r>
                    <w:t xml:space="preserve">Palm FDis</w:t>
                  </w:r>
                </w:p>
              </w:tc>
              <w:tc>
                <w:tcPr/>
                <w:p>
                  <w:pPr>
                    <w:pStyle w:val="Compact"/>
                  </w:pPr>
                  <w:r>
                    <w:t xml:space="preserve">14.4</w:t>
                  </w:r>
                </w:p>
              </w:tc>
              <w:tc>
                <w:tcPr/>
                <w:p>
                  <w:pPr>
                    <w:pStyle w:val="Compact"/>
                  </w:pPr>
                  <w:r>
                    <w:t xml:space="preserve">0.098</w:t>
                  </w:r>
                </w:p>
              </w:tc>
              <w:tc>
                <w:tcPr/>
                <w:p>
                  <w:pPr>
                    <w:pStyle w:val="Compact"/>
                  </w:pPr>
                  <w:r>
                    <w:t xml:space="preserve">131.60</w:t>
                  </w:r>
                </w:p>
              </w:tc>
              <w:tc>
                <w:tcPr/>
                <w:p>
                  <w:pPr>
                    <w:pStyle w:val="Compact"/>
                  </w:pPr>
                  <w:r>
                    <w:t xml:space="preserve">0.44</w:t>
                  </w:r>
                </w:p>
              </w:tc>
            </w:tr>
            <w:tr>
              <w:tc>
                <w:tcPr/>
                <w:p>
                  <w:pPr>
                    <w:pStyle w:val="Compact"/>
                  </w:pPr>
                  <w:r>
                    <w:t xml:space="preserve">Mammal FR</w:t>
                  </w:r>
                </w:p>
              </w:tc>
              <w:tc>
                <w:tcPr/>
                <w:p>
                  <w:pPr>
                    <w:pStyle w:val="Compact"/>
                  </w:pPr>
                  <w:r>
                    <w:t xml:space="preserve">19.8</w:t>
                  </w:r>
                </w:p>
              </w:tc>
              <w:tc>
                <w:tcPr/>
                <w:p>
                  <w:pPr>
                    <w:pStyle w:val="Compact"/>
                  </w:pPr>
                  <w:r>
                    <w:t xml:space="preserve">0.140</w:t>
                  </w:r>
                </w:p>
              </w:tc>
              <w:tc>
                <w:tcPr/>
                <w:p>
                  <w:pPr>
                    <w:pStyle w:val="Compact"/>
                  </w:pPr>
                  <w:r>
                    <w:t xml:space="preserve">120.03</w:t>
                  </w:r>
                </w:p>
              </w:tc>
              <w:tc>
                <w:tcPr/>
                <w:p>
                  <w:pPr>
                    <w:pStyle w:val="Compact"/>
                  </w:pPr>
                  <w:r>
                    <w:t xml:space="preserve">1.75</w:t>
                  </w:r>
                </w:p>
              </w:tc>
            </w:tr>
            <w:tr>
              <w:tc>
                <w:tcPr/>
                <w:p>
                  <w:pPr>
                    <w:pStyle w:val="Compact"/>
                  </w:pPr>
                  <w:r>
                    <w:t xml:space="preserve">Mammal FDis</w:t>
                  </w:r>
                </w:p>
              </w:tc>
              <w:tc>
                <w:tcPr/>
                <w:p>
                  <w:pPr>
                    <w:pStyle w:val="Compact"/>
                  </w:pPr>
                  <w:r>
                    <w:rPr>
                      <w:b/>
                      <w:bCs/>
                    </w:rPr>
                    <w:t xml:space="preserve">32.2</w:t>
                  </w:r>
                </w:p>
              </w:tc>
              <w:tc>
                <w:tcPr/>
                <w:p>
                  <w:pPr>
                    <w:pStyle w:val="Compact"/>
                  </w:pPr>
                  <w:r>
                    <w:rPr>
                      <w:b/>
                      <w:bCs/>
                    </w:rPr>
                    <w:t xml:space="preserve">0.265</w:t>
                  </w:r>
                </w:p>
              </w:tc>
              <w:tc>
                <w:tcPr/>
                <w:p>
                  <w:pPr>
                    <w:pStyle w:val="Compact"/>
                  </w:pPr>
                  <w:r>
                    <w:rPr>
                      <w:b/>
                      <w:bCs/>
                    </w:rPr>
                    <w:t xml:space="preserve">115.30</w:t>
                  </w:r>
                </w:p>
              </w:tc>
              <w:tc>
                <w:tcPr/>
                <w:p>
                  <w:pPr>
                    <w:pStyle w:val="Compact"/>
                  </w:pPr>
                  <w:r>
                    <w:rPr>
                      <w:b/>
                      <w:bCs/>
                    </w:rPr>
                    <w:t xml:space="preserve">7.68</w:t>
                  </w:r>
                </w:p>
              </w:tc>
            </w:tr>
            <w:tr>
              <w:tc>
                <w:tcPr/>
                <w:p>
                  <w:pPr>
                    <w:pStyle w:val="Compact"/>
                  </w:pPr>
                  <w:r>
                    <w:t xml:space="preserve">FTA-FR</w:t>
                  </w:r>
                </w:p>
              </w:tc>
              <w:tc>
                <w:tcPr/>
                <w:p>
                  <w:pPr>
                    <w:pStyle w:val="Compact"/>
                  </w:pPr>
                  <w:r>
                    <w:t xml:space="preserve">1.4</w:t>
                  </w:r>
                </w:p>
              </w:tc>
              <w:tc>
                <w:tcPr/>
                <w:p>
                  <w:pPr>
                    <w:pStyle w:val="Compact"/>
                  </w:pPr>
                  <w:r>
                    <w:t xml:space="preserve">0.008</w:t>
                  </w:r>
                </w:p>
              </w:tc>
              <w:tc>
                <w:tcPr/>
                <w:p>
                  <w:pPr>
                    <w:pStyle w:val="Compact"/>
                  </w:pPr>
                  <w:r>
                    <w:t xml:space="preserve">136.89</w:t>
                  </w:r>
                </w:p>
              </w:tc>
              <w:tc>
                <w:tcPr/>
                <w:p>
                  <w:pPr>
                    <w:pStyle w:val="Compact"/>
                  </w:pPr>
                  <w:r>
                    <w:t xml:space="preserve">-0.27</w:t>
                  </w:r>
                </w:p>
              </w:tc>
            </w:tr>
            <w:tr>
              <w:tc>
                <w:tcPr/>
                <w:p>
                  <w:pPr>
                    <w:pStyle w:val="Compact"/>
                  </w:pPr>
                  <w:r>
                    <w:t xml:space="preserve">FTA-FDis</w:t>
                  </w:r>
                </w:p>
              </w:tc>
              <w:tc>
                <w:tcPr/>
                <w:p>
                  <w:pPr>
                    <w:pStyle w:val="Compact"/>
                  </w:pPr>
                  <w:r>
                    <w:rPr>
                      <w:b/>
                      <w:bCs/>
                    </w:rPr>
                    <w:t xml:space="preserve">29.4</w:t>
                  </w:r>
                </w:p>
              </w:tc>
              <w:tc>
                <w:tcPr/>
                <w:p>
                  <w:pPr>
                    <w:pStyle w:val="Compact"/>
                  </w:pPr>
                  <w:r>
                    <w:rPr>
                      <w:b/>
                      <w:bCs/>
                    </w:rPr>
                    <w:t xml:space="preserve">0.243</w:t>
                  </w:r>
                </w:p>
              </w:tc>
              <w:tc>
                <w:tcPr/>
                <w:p>
                  <w:pPr>
                    <w:pStyle w:val="Compact"/>
                  </w:pPr>
                  <w:r>
                    <w:t xml:space="preserve">143.56</w:t>
                  </w:r>
                </w:p>
              </w:tc>
              <w:tc>
                <w:tcPr/>
                <w:p>
                  <w:pPr>
                    <w:pStyle w:val="Compact"/>
                  </w:pPr>
                  <w:r>
                    <w:rPr>
                      <w:b/>
                      <w:bCs/>
                    </w:rPr>
                    <w:t xml:space="preserve">6.69</w:t>
                  </w:r>
                </w:p>
              </w:tc>
            </w:tr>
          </w:tbl>
        </w:tc>
      </w:tr>
    </w:tbl>
    <w:bookmarkEnd w:id="56"/>
    <w:bookmarkStart w:id="57"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have important consequences for the assembly and persistence of ecological interactions. Because mutualistic interactions emerge through trait matching between producers and consumers, the ecological consequences of functional trophic asymmetry are likely to depend on the degree to which interactions are constrained by compatible trait combinations</w:t>
      </w:r>
      <w:r>
        <w:t xml:space="preserve"> </w:t>
      </w:r>
      <w:r>
        <w:t xml:space="preserve">(Dehling et al. 2021; Bartomeus et al. 2016; Albrecht et al. 2018; Armbruster, Pélabon, and Hansen 2014)</w:t>
      </w:r>
      <w:r>
        <w:t xml:space="preserve">. Consequently, the effects of regional functional trophic asymmetry in the assembly of local networks should depend on the capacity of species in the community to establish novel interactions</w:t>
      </w:r>
      <w:r>
        <w:t xml:space="preserve"> </w:t>
      </w:r>
      <w:r>
        <w:t xml:space="preserve">(Marjakangas et al. 2022)</w:t>
      </w:r>
      <w:r>
        <w:t xml:space="preserve">. Where interactions are flexible, changes in consumer functional composition may be accommodated through partner switching, allowing networks to reorganize while maintaining overall connectivity</w:t>
      </w:r>
      <w:r>
        <w:t xml:space="preserve"> </w:t>
      </w:r>
      <w:r>
        <w:t xml:space="preserve">(Caradonna, Bain, and Waser 2021)</w:t>
      </w:r>
      <w:r>
        <w:t xml:space="preserve">. In contrast, where interactions depend on a narrow range of compatible trait combinations, asymmetric changes in producer and consumer functional diversity may reduce the availability of suitable partners, increasing the risk of interaction loss and secondary extinctions</w:t>
      </w:r>
      <w:r>
        <w:t xml:space="preserve"> </w:t>
      </w:r>
      <w:r>
        <w:t xml:space="preserve">(Schleuning et al. 2012; Schleuning, Fründ, and García 2015; Gillespie et al. 2024)</w:t>
      </w:r>
      <w:r>
        <w:t xml:space="preserve">. Functional trophic asymmetry may therefore help identify regions where climatic change is most likely to reorganize ecological networks</w:t>
      </w:r>
      <w:r>
        <w:t xml:space="preserve"> </w:t>
      </w:r>
      <w:r>
        <w:t xml:space="preserve">(Classen et al. 2020)</w:t>
      </w:r>
      <w:r>
        <w:t xml:space="preserve">, providing a functional link between environmental filtering, trait matching, and the assembly of multitrophic networks</w:t>
      </w:r>
      <w:r>
        <w:t xml:space="preserve"> </w:t>
      </w:r>
      <w:r>
        <w:t xml:space="preserve">(Marjakangas et al. 2022)</w:t>
      </w:r>
      <w:r>
        <w:t xml:space="preserve">.</w:t>
      </w:r>
    </w:p>
    <w:p>
      <w:pPr>
        <w:pStyle w:val="BodyText"/>
      </w:pPr>
      <w:r>
        <w:t xml:space="preserve">An important next step is to evaluate whether functional trophic asymmetry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provides an opportunity to test whether regions with greater functional trophic asymmetry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functional trophic asymmetry influences the assembly of ecological networks across spatial scales</w:t>
      </w:r>
      <w:r>
        <w:t xml:space="preserve"> </w:t>
      </w:r>
      <w:r>
        <w:t xml:space="preserve">(Galiana et al. 2018; Ponisio et al. 2019; Thuiller et al. 2024)</w:t>
      </w:r>
      <w:r>
        <w:t xml:space="preserve">.</w:t>
      </w:r>
    </w:p>
    <w:bookmarkEnd w:id="57"/>
    <w:bookmarkStart w:id="58" w:name="Xccecf534794163ec5bfc0469afc65e467b3e278"/>
    <w:p>
      <w:pPr>
        <w:pStyle w:val="Heading3"/>
      </w:pPr>
      <w:r>
        <w:t xml:space="preserve">Functional trophic asymmetry as a multitrophic indicator of ecological processes and their response to global changes</w:t>
      </w:r>
    </w:p>
    <w:p>
      <w:pPr>
        <w:pStyle w:val="FirstParagraph"/>
      </w:pPr>
      <w:r>
        <w:t xml:space="preserve">Our findings suggest that climatic filtering is one mechanism generating functional trophic asymmetry, but climate is unlikely to be the only driver. Habitat loss, defaunation, biological invasions, and other forms of anthropogenic environmental change can independently alter the functional composition of producers or consumers, potentially increasing or reducing asymmetry between trophic levels</w:t>
      </w:r>
      <w:r>
        <w:t xml:space="preserve"> </w:t>
      </w:r>
      <w:r>
        <w:t xml:space="preserve">(Tinoco et al. 2018; Guevara, Torres, and Graham 2023b, 2023a; Bello, Schleuning, and Graham 2023; Guerra et al. 2025)</w:t>
      </w:r>
      <w:r>
        <w:t xml:space="preserve">. Indeed, a growing body of evidence shows that anthropogenic disturbances often affect trophic levels asymmetrically, with consumer communities, particularly large vertebrates, experiencing greater functional losses than producers</w:t>
      </w:r>
      <w:r>
        <w:t xml:space="preserve"> </w:t>
      </w:r>
      <w:r>
        <w:t xml:space="preserve">(Duffy and E 2003; Hogsden, Xenopoulos, and Rusak 2009; Dirzo et al. 2014)</w:t>
      </w:r>
      <w:r>
        <w:t xml:space="preserve">. Functional trophic asymmetry provides a framework for quantifying these differential responses and comparing how diverse environmental drivers reshape the relative functional organization of interacting trophic levels. By extending trait-based approaches beyond individual trophic levels, FTA offers a common framework for investigating how environmental change propagates through multitrophic communities and ultimately influences the organization of ecological interactions.</w:t>
      </w:r>
    </w:p>
    <w:p>
      <w:pPr>
        <w:pStyle w:val="BodyText"/>
      </w:pPr>
      <w:r>
        <w:t xml:space="preserve">Climate strongly structured functional dispersion asymmetry but had comparatively little influence on functional richness asymmetry. This contrast suggests that the two dimensions of functional trophic asymmetry differ in their sensitivity to contemporary climatic filtering. Because functional trophic asymmetry was evaluated across biogeographic provinces, the comparatively weak climatic signal for functional richness asymmetry indicates that province-specific historical processes may also contribute to regional differences. Biogeographic provinces integrate long-term histories of diversification, extinction, and dispersal that shape the regional pool of functional strategies available to interacting trophic levels. Functional richness asymmetry may therefore be more strongly influenced by these historical legacies, whereas functional dispersion appears more responsive to present-day environmental conditions.</w:t>
      </w:r>
    </w:p>
    <w:p>
      <w:pPr>
        <w:pStyle w:val="BodyText"/>
      </w:pPr>
      <w:r>
        <w:t xml:space="preserve">This interpretation is consistent with previous studies showing that historical and contemporary processes often contribute differently to patterns of functional diversity. For example, Quaternary climatic history exerts a strong influence on plant functional diversity</w:t>
      </w:r>
      <w:r>
        <w:t xml:space="preserve"> </w:t>
      </w:r>
      <w:r>
        <w:t xml:space="preserve">(Ordonez and Svenning 2017)</w:t>
      </w:r>
      <w:r>
        <w:t xml:space="preserve">, whereas contemporary climatic gradients more strongly structure functional diversity in woody plants and mammals</w:t>
      </w:r>
      <w:r>
        <w:t xml:space="preserve"> </w:t>
      </w:r>
      <w:r>
        <w:t xml:space="preserve">(Swenson et al. 2012; Hedberg and Smith 2025)</w:t>
      </w:r>
      <w:r>
        <w:t xml:space="preserve">. Other systems exhibit the opposite pattern. For instance, global freshwater fish assemblages show stronger historical controls on functional dispersion but stronger contemporary controls on functional richness</w:t>
      </w:r>
      <w:r>
        <w:t xml:space="preserve"> </w:t>
      </w:r>
      <w:r>
        <w:t xml:space="preserve">(Su et al. 2022)</w:t>
      </w:r>
      <w:r>
        <w:t xml:space="preserve">, illustrating that the balance between historical legacies and contemporary environmental filtering varies among taxa. Functional trophic asymmetry therefore provides a framework for investigating how historical eco-evolutionary processes and contemporary environmental filtering jointly shape the functional organization of interacting trophic levels.</w:t>
      </w:r>
    </w:p>
    <w:bookmarkEnd w:id="58"/>
    <w:bookmarkEnd w:id="59"/>
    <w:bookmarkStart w:id="60" w:name="conclusion"/>
    <w:p>
      <w:pPr>
        <w:pStyle w:val="Heading2"/>
      </w:pPr>
      <w:r>
        <w:t xml:space="preserve">CONCLUSION</w:t>
      </w:r>
    </w:p>
    <w:p>
      <w:pPr>
        <w:pStyle w:val="FirstParagraph"/>
      </w:pPr>
      <w:r>
        <w:t xml:space="preserve">As climate change alters precipitation regimes, dry-season intensity, and climatic stability, functional trophic asymmetry is likely to change across Neotropical palm–frugivore assemblages. Because climate and other global change drivers can differentially affect producer and consumer functional diversity, they may reshape potential interaction niches and the functional organization of ecological networks, particularly where opportunities for interaction rewiring are limited</w:t>
      </w:r>
      <w:r>
        <w:t xml:space="preserve"> </w:t>
      </w:r>
      <w:r>
        <w:t xml:space="preserve">(Tylianakis et al. 2008; Caradonna, Bain, and Waser 2021; Cruz, Souza, and Rosumek 2023)</w:t>
      </w:r>
      <w:r>
        <w:t xml:space="preserve">. Functional trophic asymmetry therefore provides a framework for generating and testing predictions about how differential functional responses across trophic levels influence the reorganization of ecological networks under environmental change. Evaluating these predictions across diverse ecosystems will establish the generality of functional trophic asymmetry as an indicator of multitrophic responses to global change</w:t>
      </w:r>
      <w:r>
        <w:t xml:space="preserve"> </w:t>
      </w:r>
      <w:r>
        <w:t xml:space="preserve">(Acosta-Rojas et al. 2023; Nowak et al. 2022; Landim et al. 2025; Rabeau et al. 2025)</w:t>
      </w:r>
      <w:r>
        <w:t xml:space="preserve">. By extending trait-based approaches beyond individual trophic levels, FTA is a general multitrophic framework that links broad-scale environmental filtering to the functional organization of ecological networks.</w:t>
      </w:r>
      <w:r>
        <w:br/>
      </w:r>
    </w:p>
    <w:bookmarkEnd w:id="60"/>
    <w:bookmarkStart w:id="105" w:name="supplementary-material"/>
    <w:p>
      <w:pPr>
        <w:pStyle w:val="Heading2"/>
      </w:pPr>
      <w:r>
        <w:t xml:space="preserve">SUPPLEMENTARY MATERIAL</w:t>
      </w:r>
    </w:p>
    <w:bookmarkStart w:id="64" w:name="X2e07d74921677cd76c1f2e5d867307be42ce2f6"/>
    <w:p>
      <w:pPr>
        <w:pStyle w:val="Heading4"/>
      </w:pPr>
      <w:r>
        <w:t xml:space="preserve">Figure S1. Correlations among WorldClim bioclimatic variables across Neotropical biogeographic provinces</w:t>
      </w:r>
    </w:p>
    <w:p>
      <w:pPr>
        <w:pStyle w:val="CaptionedFigure"/>
      </w:pPr>
      <w:r>
        <w:drawing>
          <wp:inline>
            <wp:extent cx="5334000" cy="4332096"/>
            <wp:effectExtent b="0" l="0" r="0" t="0"/>
            <wp:docPr descr="Figure S1. Correlations among WorldClim bioclimatic variables across Neotropical biogeographic provinces. Pearson correlation coefficients were calculated from mean bioclimatic values extracted for each province. Strong correlations among variables justify the use of principal component analysis to summarize climatic variation before modelling functional diversity and functional trophic asymmetry." title="" id="62" name="Picture"/>
            <a:graphic>
              <a:graphicData uri="http://schemas.openxmlformats.org/drawingml/2006/picture">
                <pic:pic>
                  <pic:nvPicPr>
                    <pic:cNvPr descr="images/clipboard-2020062998.png" id="63" name="Picture"/>
                    <pic:cNvPicPr>
                      <a:picLocks noChangeArrowheads="1" noChangeAspect="1"/>
                    </pic:cNvPicPr>
                  </pic:nvPicPr>
                  <pic:blipFill>
                    <a:blip r:embed="rId61"/>
                    <a:stretch>
                      <a:fillRect/>
                    </a:stretch>
                  </pic:blipFill>
                  <pic:spPr bwMode="auto">
                    <a:xfrm>
                      <a:off x="0" y="0"/>
                      <a:ext cx="5334000" cy="4332096"/>
                    </a:xfrm>
                    <a:prstGeom prst="rect">
                      <a:avLst/>
                    </a:prstGeom>
                    <a:noFill/>
                    <a:ln w="9525">
                      <a:noFill/>
                      <a:headEnd/>
                      <a:tailEnd/>
                    </a:ln>
                  </pic:spPr>
                </pic:pic>
              </a:graphicData>
            </a:graphic>
          </wp:inline>
        </w:drawing>
      </w:r>
    </w:p>
    <w:p>
      <w:pPr>
        <w:pStyle w:val="ImageCaption"/>
      </w:pPr>
      <w:r>
        <w:rPr>
          <w:b/>
          <w:bCs/>
        </w:rPr>
        <w:t xml:space="preserve">Figure S1. Correlations among WorldClim bioclimatic variables across Neotropical biogeographic provinces</w:t>
      </w:r>
      <w:r>
        <w:t xml:space="preserve">. Pearson correlation coefficients were calculated from mean bioclimatic values extracted for each province. Strong correlations among variables justify the use of principal component analysis to summarize climatic variation before modelling functional diversity and functional trophic asymmetry.</w:t>
      </w:r>
    </w:p>
    <w:bookmarkEnd w:id="64"/>
    <w:bookmarkStart w:id="68" w:name="X4d5787d964d59ff2ae718a258c5793e968dc48d"/>
    <w:p>
      <w:pPr>
        <w:pStyle w:val="Heading4"/>
      </w:pPr>
      <w:r>
        <w:t xml:space="preserve">Figure S2. Loadings of bioclimatic variables on the first three climatic principal components.</w:t>
      </w:r>
    </w:p>
    <w:p>
      <w:pPr>
        <w:pStyle w:val="CaptionedFigure"/>
      </w:pPr>
      <w:r>
        <w:drawing>
          <wp:inline>
            <wp:extent cx="5334000" cy="3466815"/>
            <wp:effectExtent b="0" l="0" r="0" t="0"/>
            <wp:docPr descr="Figure S2. Loadings of bioclimatic variables on the first three climatic principal components. Heatmap showing the loadings of the 19 WorldClim bioclimatic variables (BIO1–BIO19) on the first three principal components (PC1–PC3) derived from principal component analysis (PCA). Cell colours and numerical values indicate the magnitude and direction of each variable’s contribution to each principal component, with red representing positive loadings and blue representing negative loadings. Together, PC1–PC3 explained 87.9% of the total climatic variation across the study region and were subsequently used as predictors of producer, consumer, and functional trophic asymmetry patterns." title="" id="66" name="Picture"/>
            <a:graphic>
              <a:graphicData uri="http://schemas.openxmlformats.org/drawingml/2006/picture">
                <pic:pic>
                  <pic:nvPicPr>
                    <pic:cNvPr descr="images/clipboard-4024344175.png" id="67" name="Picture"/>
                    <pic:cNvPicPr>
                      <a:picLocks noChangeArrowheads="1" noChangeAspect="1"/>
                    </pic:cNvPicPr>
                  </pic:nvPicPr>
                  <pic:blipFill>
                    <a:blip r:embed="rId65"/>
                    <a:stretch>
                      <a:fillRect/>
                    </a:stretch>
                  </pic:blipFill>
                  <pic:spPr bwMode="auto">
                    <a:xfrm>
                      <a:off x="0" y="0"/>
                      <a:ext cx="5334000" cy="3466815"/>
                    </a:xfrm>
                    <a:prstGeom prst="rect">
                      <a:avLst/>
                    </a:prstGeom>
                    <a:noFill/>
                    <a:ln w="9525">
                      <a:noFill/>
                      <a:headEnd/>
                      <a:tailEnd/>
                    </a:ln>
                  </pic:spPr>
                </pic:pic>
              </a:graphicData>
            </a:graphic>
          </wp:inline>
        </w:drawing>
      </w:r>
    </w:p>
    <w:p>
      <w:pPr>
        <w:pStyle w:val="ImageCaption"/>
      </w:pPr>
      <w:r>
        <w:rPr>
          <w:b/>
          <w:bCs/>
        </w:rPr>
        <w:t xml:space="preserve">Figure S2. Loadings of bioclimatic variables on the first three climatic principal components.</w:t>
      </w:r>
      <w:r>
        <w:t xml:space="preserve"> </w:t>
      </w:r>
      <w:r>
        <w:t xml:space="preserve">Heatmap showing the loadings of the 19 WorldClim bioclimatic variables (BIO1–BIO19) on the first three principal components (PC1–PC3) derived from principal component analysis (PCA). Cell colours and numerical values indicate the magnitude and direction of each variable’s contribution to each principal component, with red representing positive loadings and blue representing negative loadings. Together, PC1–PC3 explained 87.9% of the total climatic variation across the study region and were subsequently used as predictors of producer, consumer, and functional trophic asymmetry patterns.</w:t>
      </w:r>
    </w:p>
    <w:bookmarkEnd w:id="68"/>
    <w:bookmarkStart w:id="72" w:name="X6bb837b28b5ccb87813d91ca4642dfda6987d01"/>
    <w:p>
      <w:pPr>
        <w:pStyle w:val="Heading4"/>
      </w:pPr>
      <w:r>
        <w:t xml:space="preserve">Figure S3. Relative contributions of bioclimatic variables to the first three climatic principal components</w:t>
      </w:r>
    </w:p>
    <w:p>
      <w:pPr>
        <w:pStyle w:val="CaptionedFigure"/>
      </w:pPr>
      <w:r>
        <w:drawing>
          <wp:inline>
            <wp:extent cx="5334000" cy="3466815"/>
            <wp:effectExtent b="0" l="0" r="0" t="0"/>
            <wp:docPr descr="Figure S3. Relative contributions of bioclimatic variables to the first three climatic principal components. Heatmap showing the percentage contribution of the 19 WorldClim bioclimatic variables (BIO1–BIO19) to the first three principal components (PC1–PC3) derived from principal component analysis (PCA). Cell colours and numerical values indicate the relative contribution (%) of each variable to each principal component, with warmer colours representing greater contributions. These contributions were used to aid the ecological interpretation of the climatic gradients represented by PC1–PC3, which together explained 87.9% of the total climatic variation across the study region." title="" id="70" name="Picture"/>
            <a:graphic>
              <a:graphicData uri="http://schemas.openxmlformats.org/drawingml/2006/picture">
                <pic:pic>
                  <pic:nvPicPr>
                    <pic:cNvPr descr="images/clipboard-2140011653.png" id="71" name="Picture"/>
                    <pic:cNvPicPr>
                      <a:picLocks noChangeArrowheads="1" noChangeAspect="1"/>
                    </pic:cNvPicPr>
                  </pic:nvPicPr>
                  <pic:blipFill>
                    <a:blip r:embed="rId69"/>
                    <a:stretch>
                      <a:fillRect/>
                    </a:stretch>
                  </pic:blipFill>
                  <pic:spPr bwMode="auto">
                    <a:xfrm>
                      <a:off x="0" y="0"/>
                      <a:ext cx="5334000" cy="3466815"/>
                    </a:xfrm>
                    <a:prstGeom prst="rect">
                      <a:avLst/>
                    </a:prstGeom>
                    <a:noFill/>
                    <a:ln w="9525">
                      <a:noFill/>
                      <a:headEnd/>
                      <a:tailEnd/>
                    </a:ln>
                  </pic:spPr>
                </pic:pic>
              </a:graphicData>
            </a:graphic>
          </wp:inline>
        </w:drawing>
      </w:r>
    </w:p>
    <w:p>
      <w:pPr>
        <w:pStyle w:val="ImageCaption"/>
      </w:pPr>
      <w:r>
        <w:rPr>
          <w:b/>
          <w:bCs/>
        </w:rPr>
        <w:t xml:space="preserve">Figure S3. Relative contributions of bioclimatic variables to the first three climatic principal components.</w:t>
      </w:r>
      <w:r>
        <w:t xml:space="preserve"> </w:t>
      </w:r>
      <w:r>
        <w:t xml:space="preserve">Heatmap showing the percentage contribution of the 19 WorldClim bioclimatic variables (BIO1–BIO19) to the first three principal components (PC1–PC3) derived from principal component analysis (PCA). Cell colours and numerical values indicate the relative contribution (%) of each variable to each principal component, with warmer colours representing greater contributions. These contributions were used to aid the ecological interpretation of the climatic gradients represented by PC1–PC3, which together explained 87.9% of the total climatic variation across the study region.</w:t>
      </w:r>
    </w:p>
    <w:bookmarkEnd w:id="72"/>
    <w:bookmarkStart w:id="76" w:name="Xde03bee29fcd1675ed61e5e8c659fa8e1504ac8"/>
    <w:p>
      <w:pPr>
        <w:pStyle w:val="Heading4"/>
      </w:pPr>
      <w:r>
        <w:t xml:space="preserve">Figure S4: Variance explained by retained functional trait axes.</w:t>
      </w:r>
    </w:p>
    <w:p>
      <w:pPr>
        <w:pStyle w:val="CaptionedFigure"/>
      </w:pPr>
      <w:r>
        <w:drawing>
          <wp:inline>
            <wp:extent cx="5334000" cy="3808373"/>
            <wp:effectExtent b="0" l="0" r="0" t="0"/>
            <wp:docPr descr="Figure S4: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74" name="Picture"/>
            <a:graphic>
              <a:graphicData uri="http://schemas.openxmlformats.org/drawingml/2006/picture">
                <pic:pic>
                  <pic:nvPicPr>
                    <pic:cNvPr descr="images/clipboard-1614616575.png" id="75" name="Picture"/>
                    <pic:cNvPicPr>
                      <a:picLocks noChangeArrowheads="1" noChangeAspect="1"/>
                    </pic:cNvPicPr>
                  </pic:nvPicPr>
                  <pic:blipFill>
                    <a:blip r:embed="rId73"/>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S4: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76"/>
    <w:bookmarkStart w:id="80" w:name="X8245cafbe708dbe084b26d603ae0e0b0ce0e629"/>
    <w:p>
      <w:pPr>
        <w:pStyle w:val="Heading4"/>
      </w:pPr>
      <w:r>
        <w:t xml:space="preserve">Figure S5. Functional trait spaces of palms and mammals</w:t>
      </w:r>
    </w:p>
    <w:p>
      <w:pPr>
        <w:pStyle w:val="CaptionedFigure"/>
      </w:pPr>
      <w:r>
        <w:drawing>
          <wp:inline>
            <wp:extent cx="5334000" cy="3011404"/>
            <wp:effectExtent b="0" l="0" r="0" t="0"/>
            <wp:docPr descr="Figure S5.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unctional richness (FRic) and functional dispersion (FDis)." title="" id="78" name="Picture"/>
            <a:graphic>
              <a:graphicData uri="http://schemas.openxmlformats.org/drawingml/2006/picture">
                <pic:pic>
                  <pic:nvPicPr>
                    <pic:cNvPr descr="images/clipboard-1496440380.png" id="79" name="Picture"/>
                    <pic:cNvPicPr>
                      <a:picLocks noChangeArrowheads="1" noChangeAspect="1"/>
                    </pic:cNvPicPr>
                  </pic:nvPicPr>
                  <pic:blipFill>
                    <a:blip r:embed="rId77"/>
                    <a:stretch>
                      <a:fillRect/>
                    </a:stretch>
                  </pic:blipFill>
                  <pic:spPr bwMode="auto">
                    <a:xfrm>
                      <a:off x="0" y="0"/>
                      <a:ext cx="5334000" cy="3011404"/>
                    </a:xfrm>
                    <a:prstGeom prst="rect">
                      <a:avLst/>
                    </a:prstGeom>
                    <a:noFill/>
                    <a:ln w="9525">
                      <a:noFill/>
                      <a:headEnd/>
                      <a:tailEnd/>
                    </a:ln>
                  </pic:spPr>
                </pic:pic>
              </a:graphicData>
            </a:graphic>
          </wp:inline>
        </w:drawing>
      </w:r>
    </w:p>
    <w:p>
      <w:pPr>
        <w:pStyle w:val="ImageCaption"/>
      </w:pPr>
      <w:r>
        <w:rPr>
          <w:b/>
          <w:bCs/>
        </w:rPr>
        <w:t xml:space="preserve">Figure S5. Functional trait spaces of palms and mammals. Principal coordinates analysis (PCoA) of species functional trait spaces for (A) palms and (B) mammalian frugivores.</w:t>
      </w:r>
      <w:r>
        <w:t xml:space="preserve"> </w:t>
      </w:r>
      <w:r>
        <w:t xml:space="preserve">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functional richness (FRic) and functional dispersion (FDis).</w:t>
      </w:r>
    </w:p>
    <w:bookmarkEnd w:id="80"/>
    <w:bookmarkStart w:id="84" w:name="X6ab9abdd4a73105936285a80a21c626a4468715"/>
    <w:p>
      <w:pPr>
        <w:pStyle w:val="Heading4"/>
      </w:pPr>
      <w:r>
        <w:t xml:space="preserve">Figure S6. Relative contributions of functional traits to the multidimensional trait spaces of palms and mammals</w:t>
      </w:r>
    </w:p>
    <w:p>
      <w:pPr>
        <w:pStyle w:val="CaptionedFigure"/>
      </w:pPr>
      <w:r>
        <w:drawing>
          <wp:inline>
            <wp:extent cx="5334000" cy="3302640"/>
            <wp:effectExtent b="0" l="0" r="0" t="0"/>
            <wp:docPr descr="Figure S6.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82" name="Picture"/>
            <a:graphic>
              <a:graphicData uri="http://schemas.openxmlformats.org/drawingml/2006/picture">
                <pic:pic>
                  <pic:nvPicPr>
                    <pic:cNvPr descr="images/clipboard-1306854883.png" id="83" name="Picture"/>
                    <pic:cNvPicPr>
                      <a:picLocks noChangeArrowheads="1" noChangeAspect="1"/>
                    </pic:cNvPicPr>
                  </pic:nvPicPr>
                  <pic:blipFill>
                    <a:blip r:embed="rId81"/>
                    <a:stretch>
                      <a:fillRect/>
                    </a:stretch>
                  </pic:blipFill>
                  <pic:spPr bwMode="auto">
                    <a:xfrm>
                      <a:off x="0" y="0"/>
                      <a:ext cx="5334000" cy="3302640"/>
                    </a:xfrm>
                    <a:prstGeom prst="rect">
                      <a:avLst/>
                    </a:prstGeom>
                    <a:noFill/>
                    <a:ln w="9525">
                      <a:noFill/>
                      <a:headEnd/>
                      <a:tailEnd/>
                    </a:ln>
                  </pic:spPr>
                </pic:pic>
              </a:graphicData>
            </a:graphic>
          </wp:inline>
        </w:drawing>
      </w:r>
    </w:p>
    <w:p>
      <w:pPr>
        <w:pStyle w:val="ImageCaption"/>
      </w:pPr>
      <w:r>
        <w:rPr>
          <w:b/>
          <w:bCs/>
        </w:rPr>
        <w:t xml:space="preserve">Figure S6. Relative contributions of functional traits to the multidimensional trait spaces of palms and mammals.</w:t>
      </w:r>
      <w:r>
        <w:t xml:space="preserve"> </w:t>
      </w:r>
      <w:r>
        <w:t xml:space="preserve">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84"/>
    <w:bookmarkStart w:id="88" w:name="Xa647f5bd5f74485976424ac498e68cd1e6db735"/>
    <w:p>
      <w:pPr>
        <w:pStyle w:val="Heading4"/>
      </w:pPr>
      <w:r>
        <w:t xml:space="preserve">Figure S7. Diagnostic plots for the generalized additive model (FR).</w:t>
      </w:r>
    </w:p>
    <w:p>
      <w:pPr>
        <w:pStyle w:val="FirstParagraph"/>
      </w:pPr>
      <w:r>
        <w:drawing>
          <wp:inline>
            <wp:extent cx="5334000" cy="4332096"/>
            <wp:effectExtent b="0" l="0" r="0" t="0"/>
            <wp:docPr descr="Figure S7. Diagnostic plots for the generalized additive model (FR). Model diagnostic plots used to evaluate the assumptions of the Gaussian generalized additive model (GAM). Panels show (top left) a quantile–quantile (Q–Q) plot of deviance residuals, (top right) deviance residuals plotted against the linear predictor, (bottom left) the distribution of deviance residuals, and (bottom right) observed versus fitted response values. Together, these diagnostics indicate that model assumptions of residual normality, homoscedasticity, and overall goodness of fit were adequately satisfied." title="" id="86" name="Picture"/>
            <a:graphic>
              <a:graphicData uri="http://schemas.openxmlformats.org/drawingml/2006/picture">
                <pic:pic>
                  <pic:nvPicPr>
                    <pic:cNvPr descr="images/clipboard-734488643.png" id="87" name="Picture"/>
                    <pic:cNvPicPr>
                      <a:picLocks noChangeArrowheads="1" noChangeAspect="1"/>
                    </pic:cNvPicPr>
                  </pic:nvPicPr>
                  <pic:blipFill>
                    <a:blip r:embed="rId85"/>
                    <a:stretch>
                      <a:fillRect/>
                    </a:stretch>
                  </pic:blipFill>
                  <pic:spPr bwMode="auto">
                    <a:xfrm>
                      <a:off x="0" y="0"/>
                      <a:ext cx="5334000" cy="4332096"/>
                    </a:xfrm>
                    <a:prstGeom prst="rect">
                      <a:avLst/>
                    </a:prstGeom>
                    <a:noFill/>
                    <a:ln w="9525">
                      <a:noFill/>
                      <a:headEnd/>
                      <a:tailEnd/>
                    </a:ln>
                  </pic:spPr>
                </pic:pic>
              </a:graphicData>
            </a:graphic>
          </wp:inline>
        </w:drawing>
      </w:r>
      <w:r>
        <w:t xml:space="preserve">{#fig-S7}</w:t>
      </w:r>
    </w:p>
    <w:bookmarkEnd w:id="88"/>
    <w:bookmarkStart w:id="92" w:name="Xd1b267cd9a333da69639a7176bc3e20bffaa48f"/>
    <w:p>
      <w:pPr>
        <w:pStyle w:val="Heading4"/>
      </w:pPr>
      <w:r>
        <w:t xml:space="preserve">Figure S8. Diagnostic plots for the generalized additive model (FDis).</w:t>
      </w:r>
    </w:p>
    <w:p>
      <w:pPr>
        <w:pStyle w:val="CaptionedFigure"/>
      </w:pPr>
      <w:r>
        <w:drawing>
          <wp:inline>
            <wp:extent cx="5334000" cy="4332096"/>
            <wp:effectExtent b="0" l="0" r="0" t="0"/>
            <wp:docPr descr="Figure S7. Diagnostic plots for the generalized additive model (FDis). Model diagnostic plots used to evaluate the assumptions of the Gaussian generalized additive model (GAM). Panels show (top left) a quantile–quantile (Q–Q) plot of deviance residuals, (top right) deviance residuals plotted against the linear predictor, (bottom left) the distribution of deviance residuals, and (bottom right) observed versus fitted response values. Together, these diagnostics indicate that model assumptions of residual normality, homoscedasticity, and overall goodness of fit were adequately satisfied." title="" id="90" name="Picture"/>
            <a:graphic>
              <a:graphicData uri="http://schemas.openxmlformats.org/drawingml/2006/picture">
                <pic:pic>
                  <pic:nvPicPr>
                    <pic:cNvPr descr="images/clipboard-1474186949.png" id="91" name="Picture"/>
                    <pic:cNvPicPr>
                      <a:picLocks noChangeArrowheads="1" noChangeAspect="1"/>
                    </pic:cNvPicPr>
                  </pic:nvPicPr>
                  <pic:blipFill>
                    <a:blip r:embed="rId89"/>
                    <a:stretch>
                      <a:fillRect/>
                    </a:stretch>
                  </pic:blipFill>
                  <pic:spPr bwMode="auto">
                    <a:xfrm>
                      <a:off x="0" y="0"/>
                      <a:ext cx="5334000" cy="4332096"/>
                    </a:xfrm>
                    <a:prstGeom prst="rect">
                      <a:avLst/>
                    </a:prstGeom>
                    <a:noFill/>
                    <a:ln w="9525">
                      <a:noFill/>
                      <a:headEnd/>
                      <a:tailEnd/>
                    </a:ln>
                  </pic:spPr>
                </pic:pic>
              </a:graphicData>
            </a:graphic>
          </wp:inline>
        </w:drawing>
      </w:r>
    </w:p>
    <w:p>
      <w:pPr>
        <w:pStyle w:val="ImageCaption"/>
      </w:pPr>
      <w:r>
        <w:rPr>
          <w:b/>
          <w:bCs/>
        </w:rPr>
        <w:t xml:space="preserve">Figure S7. Diagnostic plots for the generalized additive model (FDis).</w:t>
      </w:r>
      <w:r>
        <w:t xml:space="preserve"> </w:t>
      </w:r>
      <w:r>
        <w:t xml:space="preserve">Model diagnostic plots used to evaluate the assumptions of the Gaussian generalized additive model (GAM). Panels show (top left) a quantile–quantile (Q–Q) plot of deviance residuals, (top right) deviance residuals plotted against the linear predictor, (bottom left) the distribution of deviance residuals, and (bottom right) observed versus fitted response values. Together, these diagnostics indicate that model assumptions of residual normality, homoscedasticity, and overall goodness of fit were adequately satisfied.</w:t>
      </w:r>
    </w:p>
    <w:bookmarkEnd w:id="92"/>
    <w:bookmarkStart w:id="96" w:name="X4f4d890c6453139f199c050e3ae258f8aeb704b"/>
    <w:p>
      <w:pPr>
        <w:pStyle w:val="Heading4"/>
      </w:pPr>
      <w:r>
        <w:t xml:space="preserve">Figure S9: Improvement in model fit after accounting for spatial structure.</w:t>
      </w:r>
    </w:p>
    <w:p>
      <w:pPr>
        <w:pStyle w:val="CaptionedFigure"/>
      </w:pPr>
      <w:r>
        <w:drawing>
          <wp:inline>
            <wp:extent cx="5334000" cy="4712917"/>
            <wp:effectExtent b="0" l="0" r="0" t="0"/>
            <wp:docPr descr="Figure S9: Improvement in model fit after accounting for spatial structure. Bars show the change in Akaike Information Criterion (ΔAIC) between climate-only models and models including both climatic and spatial predictors for functional richness (FRic), functional dispersion (FDis), and functional trophic asymmetry (FTA). Positive values indicate improved model support following the inclusion of spatial structure, whereas negative values indicate no improvement. The vertical dashed line marks ΔAIC = 2, a commonly used threshold for meaningful model improvement." title="" id="94" name="Picture"/>
            <a:graphic>
              <a:graphicData uri="http://schemas.openxmlformats.org/drawingml/2006/picture">
                <pic:pic>
                  <pic:nvPicPr>
                    <pic:cNvPr descr="images/clipboard-2162621761.png" id="95" name="Picture"/>
                    <pic:cNvPicPr>
                      <a:picLocks noChangeArrowheads="1" noChangeAspect="1"/>
                    </pic:cNvPicPr>
                  </pic:nvPicPr>
                  <pic:blipFill>
                    <a:blip r:embed="rId93"/>
                    <a:stretch>
                      <a:fillRect/>
                    </a:stretch>
                  </pic:blipFill>
                  <pic:spPr bwMode="auto">
                    <a:xfrm>
                      <a:off x="0" y="0"/>
                      <a:ext cx="5334000" cy="4712917"/>
                    </a:xfrm>
                    <a:prstGeom prst="rect">
                      <a:avLst/>
                    </a:prstGeom>
                    <a:noFill/>
                    <a:ln w="9525">
                      <a:noFill/>
                      <a:headEnd/>
                      <a:tailEnd/>
                    </a:ln>
                  </pic:spPr>
                </pic:pic>
              </a:graphicData>
            </a:graphic>
          </wp:inline>
        </w:drawing>
      </w:r>
    </w:p>
    <w:p>
      <w:pPr>
        <w:pStyle w:val="ImageCaption"/>
      </w:pPr>
      <w:r>
        <w:rPr>
          <w:b/>
          <w:bCs/>
        </w:rPr>
        <w:t xml:space="preserve">Figure S9: Improvement in model fit after accounting for spatial structure.</w:t>
      </w:r>
      <w:r>
        <w:t xml:space="preserve"> </w:t>
      </w:r>
      <w:r>
        <w:t xml:space="preserve">Bars show the change in Akaike Information Criterion (ΔAIC) between climate-only models and models including both climatic and spatial predictors for functional richness (FRic), functional dispersion (FDis), and functional trophic asymmetry (FTA). Positive values indicate improved model support following the inclusion of spatial structure, whereas negative values indicate no improvement. The vertical dashed line marks ΔAIC = 2, a commonly used threshold for meaningful model improvement.</w:t>
      </w:r>
    </w:p>
    <w:bookmarkEnd w:id="96"/>
    <w:bookmarkStart w:id="100" w:name="X9af4a4bc6b53ac8d6d1dc8a637392f0730fa872"/>
    <w:p>
      <w:pPr>
        <w:pStyle w:val="Heading4"/>
      </w:pPr>
      <w:r>
        <w:t xml:space="preserve">Figure S10 Climatic distribution of functional trophic asymmetry across the two major climatic gradients</w:t>
      </w:r>
    </w:p>
    <w:p>
      <w:pPr>
        <w:pStyle w:val="CaptionedFigure"/>
      </w:pPr>
      <w:r>
        <w:drawing>
          <wp:inline>
            <wp:extent cx="5334000" cy="2787804"/>
            <wp:effectExtent b="0" l="0" r="0" t="0"/>
            <wp:docPr descr="Figure S10. Climatic distribution of functional trophic asymmetry across the two major climatic gradients. Predicted response surfaces from generalized additive models relating climatic principal components PC1 (warm/stable to cold/seasonal) and PC2 (dry to wet) to functional trophic asymmetry in (A) functional richness (FTA-FR) and (B) functional dispersion (FTA-FDis). Colored points represent observed biogeographic provinces, with colors indicating the magnitude and direction of asymmetry (blue = greater palm functional diversity relative to mammals; red = greater mammal functional diversity relative to palms). Contours and shaded surfaces depict model predictions across the climatic space occupied by the Neotropics. Principal components summarize multivariate climatic variation derived from 19 bioclimatic variables (Figure 2)." title="" id="98" name="Picture"/>
            <a:graphic>
              <a:graphicData uri="http://schemas.openxmlformats.org/drawingml/2006/picture">
                <pic:pic>
                  <pic:nvPicPr>
                    <pic:cNvPr descr="images/clipboard-112102465.png" id="99" name="Picture"/>
                    <pic:cNvPicPr>
                      <a:picLocks noChangeArrowheads="1" noChangeAspect="1"/>
                    </pic:cNvPicPr>
                  </pic:nvPicPr>
                  <pic:blipFill>
                    <a:blip r:embed="rId97"/>
                    <a:stretch>
                      <a:fillRect/>
                    </a:stretch>
                  </pic:blipFill>
                  <pic:spPr bwMode="auto">
                    <a:xfrm>
                      <a:off x="0" y="0"/>
                      <a:ext cx="5334000" cy="2787804"/>
                    </a:xfrm>
                    <a:prstGeom prst="rect">
                      <a:avLst/>
                    </a:prstGeom>
                    <a:noFill/>
                    <a:ln w="9525">
                      <a:noFill/>
                      <a:headEnd/>
                      <a:tailEnd/>
                    </a:ln>
                  </pic:spPr>
                </pic:pic>
              </a:graphicData>
            </a:graphic>
          </wp:inline>
        </w:drawing>
      </w:r>
    </w:p>
    <w:p>
      <w:pPr>
        <w:pStyle w:val="ImageCaption"/>
      </w:pPr>
      <w:r>
        <w:rPr>
          <w:b/>
          <w:bCs/>
        </w:rPr>
        <w:t xml:space="preserve">Figure S10. Climatic distribution of functional trophic asymmetry across the two major climatic gradients</w:t>
      </w:r>
      <w:r>
        <w:t xml:space="preserve">. Predicted response surfaces from generalized additive models relating climatic principal components PC1 (warm/stable to cold/seasonal) and PC2 (dry to wet) to functional trophic asymmetry in (A) functional richness (FTA-FR) and (B) functional dispersion (FTA-FDis). Colored points represent observed biogeographic provinces, with colors indicating the magnitude and direction of asymmetry (blue = greater palm functional diversity relative to mammals; red = greater mammal functional diversity relative to palms). Contours and shaded surfaces depict model predictions across the climatic space occupied by the Neotropics. Principal components summarize multivariate climatic variation derived from 19 bioclimatic variables (Figure 2).</w:t>
      </w:r>
    </w:p>
    <w:bookmarkEnd w:id="100"/>
    <w:bookmarkStart w:id="104" w:name="X1a5cfb0293acaa35e7d33129cc9be0f9fd694f9"/>
    <w:p>
      <w:pPr>
        <w:pStyle w:val="Heading4"/>
      </w:pPr>
      <w:r>
        <w:t xml:space="preserve">Figure S11. Relationships between multitrophic functional diversity and functional trophic asymmetry across Neotropical biogeographic provinces.</w:t>
      </w:r>
    </w:p>
    <w:p>
      <w:pPr>
        <w:pStyle w:val="CaptionedFigure"/>
      </w:pPr>
      <w:r>
        <w:drawing>
          <wp:inline>
            <wp:extent cx="5334000" cy="2754129"/>
            <wp:effectExtent b="0" l="0" r="0" t="0"/>
            <wp:docPr descr="Figure S11. Relationships between multitrophic functional diversity and functional trophic asymmetry across Neotropical biogeographic provinces. Scatterplots showing the association between multitrophic assemblage strength (mean standardized effect size, SES, across palms and mammals) and functional trophic asymmetry (FTA; mammal SES − palm SES) for (A) functional richness (FR) and (B) functional dispersion (FDis). Each point represents a biogeographic province and is coloured according to its climatic domain: warm/stable + wet, cold/seasonal + wet, warm/stable + dry, and cold/seasonal + dry. Dashed horizontal and vertical lines indicate zero values, separating provinces with above- and below-null multitrophic functional diversity and positive or negative functional trophic asymmetry. Positive FTA values indicate greater SES in mammal assemblages relative to palm assemblages, whereas negative values indicate greater SES in palm assemblages." title="" id="102" name="Picture"/>
            <a:graphic>
              <a:graphicData uri="http://schemas.openxmlformats.org/drawingml/2006/picture">
                <pic:pic>
                  <pic:nvPicPr>
                    <pic:cNvPr descr="images/clipboard-1461614310.png" id="103" name="Picture"/>
                    <pic:cNvPicPr>
                      <a:picLocks noChangeArrowheads="1" noChangeAspect="1"/>
                    </pic:cNvPicPr>
                  </pic:nvPicPr>
                  <pic:blipFill>
                    <a:blip r:embed="rId101"/>
                    <a:stretch>
                      <a:fillRect/>
                    </a:stretch>
                  </pic:blipFill>
                  <pic:spPr bwMode="auto">
                    <a:xfrm>
                      <a:off x="0" y="0"/>
                      <a:ext cx="5334000" cy="2754129"/>
                    </a:xfrm>
                    <a:prstGeom prst="rect">
                      <a:avLst/>
                    </a:prstGeom>
                    <a:noFill/>
                    <a:ln w="9525">
                      <a:noFill/>
                      <a:headEnd/>
                      <a:tailEnd/>
                    </a:ln>
                  </pic:spPr>
                </pic:pic>
              </a:graphicData>
            </a:graphic>
          </wp:inline>
        </w:drawing>
      </w:r>
    </w:p>
    <w:p>
      <w:pPr>
        <w:pStyle w:val="ImageCaption"/>
      </w:pPr>
      <w:r>
        <w:rPr>
          <w:b/>
          <w:bCs/>
        </w:rPr>
        <w:t xml:space="preserve">Figure S11. Relationships between multitrophic functional diversity and functional trophic asymmetry across Neotropical biogeographic provinces.</w:t>
      </w:r>
      <w:r>
        <w:t xml:space="preserve"> </w:t>
      </w:r>
      <w:r>
        <w:t xml:space="preserve">Scatterplots showing the association between multitrophic assemblage strength (mean standardized effect size, SES, across palms and mammals) and functional trophic asymmetry (FTA; mammal SES − palm SES) for (A) functional richness (FR) and (B) functional dispersion (FDis). Each point represents a biogeographic province and is coloured according to its climatic domain: warm/stable + wet, cold/seasonal + wet, warm/stable + dry, and cold/seasonal + dry. Dashed horizontal and vertical lines indicate zero values, separating provinces with above- and below-null multitrophic functional diversity and positive or negative functional trophic asymmetry. Positive FTA values indicate greater SES in mammal assemblages relative to palm assemblages, whereas negative values indicate greater SES in palm assemblages.</w:t>
      </w:r>
    </w:p>
    <w:bookmarkEnd w:id="104"/>
    <w:bookmarkEnd w:id="105"/>
    <w:bookmarkStart w:id="212" w:name="references"/>
    <w:p>
      <w:pPr>
        <w:pStyle w:val="Heading2"/>
      </w:pPr>
      <w:r>
        <w:t xml:space="preserve">REFERENCES</w:t>
      </w:r>
    </w:p>
    <w:bookmarkStart w:id="211" w:name="refs"/>
    <w:bookmarkStart w:id="106"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106"/>
    <w:bookmarkStart w:id="107"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107"/>
    <w:bookmarkStart w:id="108"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108"/>
    <w:bookmarkStart w:id="109"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109"/>
    <w:bookmarkStart w:id="110"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110"/>
    <w:bookmarkStart w:id="111"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111"/>
    <w:bookmarkStart w:id="112"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112"/>
    <w:bookmarkStart w:id="113" w:name="ref-Banville2024"/>
    <w:p>
      <w:pPr>
        <w:pStyle w:val="Bibliography"/>
      </w:pPr>
      <w:r>
        <w:t xml:space="preserve">Banville, F., Blyth Strydom T., G., others, and T and Poisot. 2024.</w:t>
      </w:r>
      <w:r>
        <w:t xml:space="preserve"> </w:t>
      </w:r>
      <w:r>
        <w:t xml:space="preserve">“Deciphering Probabilistic Species Interaction Networks.”</w:t>
      </w:r>
    </w:p>
    <w:bookmarkEnd w:id="113"/>
    <w:bookmarkStart w:id="114"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14"/>
    <w:bookmarkStart w:id="115"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15"/>
    <w:bookmarkStart w:id="116"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16"/>
    <w:bookmarkStart w:id="117"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17"/>
    <w:bookmarkStart w:id="118"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18"/>
    <w:bookmarkStart w:id="119"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19"/>
    <w:bookmarkStart w:id="120"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20"/>
    <w:bookmarkStart w:id="121"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21"/>
    <w:bookmarkStart w:id="122"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22"/>
    <w:bookmarkStart w:id="123"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23"/>
    <w:bookmarkStart w:id="125"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24">
        <w:r>
          <w:rPr>
            <w:rStyle w:val="Hyperlink"/>
          </w:rPr>
          <w:t xml:space="preserve">https://doi.org/10.1111/ele.13640</w:t>
        </w:r>
      </w:hyperlink>
      <w:r>
        <w:t xml:space="preserve">.</w:t>
      </w:r>
    </w:p>
    <w:bookmarkEnd w:id="125"/>
    <w:bookmarkStart w:id="126"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26"/>
    <w:bookmarkStart w:id="127"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27"/>
    <w:bookmarkStart w:id="128"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28"/>
    <w:bookmarkStart w:id="130"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29">
        <w:r>
          <w:rPr>
            <w:rStyle w:val="Hyperlink"/>
          </w:rPr>
          <w:t xml:space="preserve">https://doi.org/10.1111/geb.13667</w:t>
        </w:r>
      </w:hyperlink>
      <w:r>
        <w:t xml:space="preserve">.</w:t>
      </w:r>
    </w:p>
    <w:bookmarkEnd w:id="130"/>
    <w:bookmarkStart w:id="131"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31"/>
    <w:bookmarkStart w:id="132"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32"/>
    <w:bookmarkStart w:id="133"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33"/>
    <w:bookmarkStart w:id="134"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34"/>
    <w:bookmarkStart w:id="135"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35"/>
    <w:bookmarkStart w:id="136"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6"/>
    <w:bookmarkStart w:id="138" w:name="ref-Fick2017"/>
    <w:p>
      <w:pPr>
        <w:pStyle w:val="Bibliography"/>
      </w:pPr>
      <w:r>
        <w:t xml:space="preserve">Fick, S. E., and R. J. Hijmans. 2017.</w:t>
      </w:r>
      <w:r>
        <w:t xml:space="preserve"> </w:t>
      </w:r>
      <w:r>
        <w:t xml:space="preserve">“WorldClim 2: New 1-Km Spatial Resolution Climate Surfaces for Global Land Areas.”</w:t>
      </w:r>
      <w:r>
        <w:t xml:space="preserve"> </w:t>
      </w:r>
      <w:r>
        <w:rPr>
          <w:i/>
          <w:iCs/>
        </w:rPr>
        <w:t xml:space="preserve">International Journal of Climatology</w:t>
      </w:r>
      <w:r>
        <w:t xml:space="preserve"> </w:t>
      </w:r>
      <w:r>
        <w:t xml:space="preserve">37: 4302–15.</w:t>
      </w:r>
      <w:r>
        <w:t xml:space="preserve"> </w:t>
      </w:r>
      <w:hyperlink r:id="rId137">
        <w:r>
          <w:rPr>
            <w:rStyle w:val="Hyperlink"/>
          </w:rPr>
          <w:t xml:space="preserve">https://doi.org/10.1002/joc.5086</w:t>
        </w:r>
      </w:hyperlink>
      <w:r>
        <w:t xml:space="preserve">.</w:t>
      </w:r>
    </w:p>
    <w:bookmarkEnd w:id="138"/>
    <w:bookmarkStart w:id="139"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39"/>
    <w:bookmarkStart w:id="140"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40"/>
    <w:bookmarkStart w:id="141"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41"/>
    <w:bookmarkStart w:id="142" w:name="ref-gillespie2024flowering"/>
    <w:p>
      <w:pPr>
        <w:pStyle w:val="Bibliography"/>
      </w:pPr>
      <w:r>
        <w:t xml:space="preserve">Gillespie, Mark AK, Mathilde Baude, Jacobus Biesmeijer, Nigel Boatman, Giles E Budge, Andrew Crowe, Nancy Davies, et al. 2024.</w:t>
      </w:r>
      <w:r>
        <w:t xml:space="preserve"> </w:t>
      </w:r>
      <w:r>
        <w:t xml:space="preserve">“Flowering Plant Communities Mediate the Effects of Habitat Composition and Configuration on Wild Pollinator Communities.”</w:t>
      </w:r>
      <w:r>
        <w:t xml:space="preserve"> </w:t>
      </w:r>
      <w:r>
        <w:rPr>
          <w:i/>
          <w:iCs/>
        </w:rPr>
        <w:t xml:space="preserve">Functional Ecology</w:t>
      </w:r>
      <w:r>
        <w:t xml:space="preserve"> </w:t>
      </w:r>
      <w:r>
        <w:t xml:space="preserve">38 (12): 2576–94.</w:t>
      </w:r>
    </w:p>
    <w:bookmarkEnd w:id="142"/>
    <w:bookmarkStart w:id="144" w:name="ref-Goldel2015"/>
    <w:p>
      <w:pPr>
        <w:pStyle w:val="Bibliography"/>
      </w:pPr>
      <w:r>
        <w:t xml:space="preserve">Göldel, B., K. Böhning-Gaese, and M. Schleuning. 2015.</w:t>
      </w:r>
      <w:r>
        <w:t xml:space="preserve"> </w:t>
      </w:r>
      <w:r>
        <w:t xml:space="preserve">“Trait-Based Analysis of Bird Community Assembly Along Environmental Gradients in Tropical Mountain Forests.”</w:t>
      </w:r>
      <w:r>
        <w:t xml:space="preserve"> </w:t>
      </w:r>
      <w:r>
        <w:rPr>
          <w:i/>
          <w:iCs/>
        </w:rPr>
        <w:t xml:space="preserve">Journal of Biogeography</w:t>
      </w:r>
      <w:r>
        <w:t xml:space="preserve"> </w:t>
      </w:r>
      <w:r>
        <w:t xml:space="preserve">42: 2260–71.</w:t>
      </w:r>
      <w:r>
        <w:t xml:space="preserve"> </w:t>
      </w:r>
      <w:hyperlink r:id="rId143">
        <w:r>
          <w:rPr>
            <w:rStyle w:val="Hyperlink"/>
          </w:rPr>
          <w:t xml:space="preserve">https://doi.org/10.1111/jbi.12591</w:t>
        </w:r>
      </w:hyperlink>
      <w:r>
        <w:t xml:space="preserve">.</w:t>
      </w:r>
    </w:p>
    <w:bookmarkEnd w:id="144"/>
    <w:bookmarkStart w:id="145" w:name="ref-gonzalez2017distribution"/>
    <w:p>
      <w:pPr>
        <w:pStyle w:val="Bibliography"/>
      </w:pPr>
      <w:r>
        <w:t xml:space="preserve">González-Maya, José F, Enrique Martı́nez-Meyer, Rodrigo Medellı́n, and Gerardo Ceballos. 2017.</w:t>
      </w:r>
      <w:r>
        <w:t xml:space="preserve"> </w:t>
      </w:r>
      <w:r>
        <w:t xml:space="preserve">“Distribution of Mammal Functional Diversity in the Neotropical Realm: Influence of Land-Use and Extinction Risk.”</w:t>
      </w:r>
      <w:r>
        <w:t xml:space="preserve"> </w:t>
      </w:r>
      <w:r>
        <w:rPr>
          <w:i/>
          <w:iCs/>
        </w:rPr>
        <w:t xml:space="preserve">PLoS One</w:t>
      </w:r>
      <w:r>
        <w:t xml:space="preserve"> </w:t>
      </w:r>
      <w:r>
        <w:t xml:space="preserve">12 (4): e0175931.</w:t>
      </w:r>
    </w:p>
    <w:bookmarkEnd w:id="145"/>
    <w:bookmarkStart w:id="146"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46"/>
    <w:bookmarkStart w:id="148"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47">
        <w:r>
          <w:rPr>
            <w:rStyle w:val="Hyperlink"/>
          </w:rPr>
          <w:t xml:space="preserve">https://doi.org/10.1111/1365-2664.14309</w:t>
        </w:r>
      </w:hyperlink>
      <w:r>
        <w:t xml:space="preserve">.</w:t>
      </w:r>
    </w:p>
    <w:bookmarkEnd w:id="148"/>
    <w:bookmarkStart w:id="150"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9">
        <w:r>
          <w:rPr>
            <w:rStyle w:val="Hyperlink"/>
          </w:rPr>
          <w:t xml:space="preserve">https://doi.org/10.1002/eap.2731</w:t>
        </w:r>
      </w:hyperlink>
      <w:r>
        <w:t xml:space="preserve">.</w:t>
      </w:r>
    </w:p>
    <w:bookmarkEnd w:id="150"/>
    <w:bookmarkStart w:id="151"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51"/>
    <w:bookmarkStart w:id="152"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52"/>
    <w:bookmarkStart w:id="153" w:name="ref-Hedberg2025"/>
    <w:p>
      <w:pPr>
        <w:pStyle w:val="Bibliography"/>
      </w:pPr>
      <w:r>
        <w:t xml:space="preserve">Hedberg, C. P., and F. A Smith. 2025.</w:t>
      </w:r>
      <w:r>
        <w:t xml:space="preserve"> </w:t>
      </w:r>
      <w:r>
        <w:t xml:space="preserve">“Unraveling the Role of Environmental and Anthropogenic Drivers in Shaping Global Patterns in Mammal Diversity.”</w:t>
      </w:r>
      <w:r>
        <w:t xml:space="preserve"> </w:t>
      </w:r>
      <w:r>
        <w:rPr>
          <w:i/>
          <w:iCs/>
        </w:rPr>
        <w:t xml:space="preserve">Ecography,</w:t>
      </w:r>
      <w:r>
        <w:t xml:space="preserve"> </w:t>
      </w:r>
      <w:r>
        <w:t xml:space="preserve">2025 (10): e07674.</w:t>
      </w:r>
    </w:p>
    <w:bookmarkEnd w:id="153"/>
    <w:bookmarkStart w:id="154"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54"/>
    <w:bookmarkStart w:id="155"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55"/>
    <w:bookmarkStart w:id="156"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56"/>
    <w:bookmarkStart w:id="158"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7">
        <w:r>
          <w:rPr>
            <w:rStyle w:val="Hyperlink"/>
          </w:rPr>
          <w:t xml:space="preserve">https://doi.org/10.1038/s41597-019-0174-2</w:t>
        </w:r>
      </w:hyperlink>
      <w:r>
        <w:t xml:space="preserve">.</w:t>
      </w:r>
    </w:p>
    <w:bookmarkEnd w:id="158"/>
    <w:bookmarkStart w:id="159"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59"/>
    <w:bookmarkStart w:id="160"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60"/>
    <w:bookmarkStart w:id="161"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61"/>
    <w:bookmarkStart w:id="162"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62"/>
    <w:bookmarkStart w:id="163"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63"/>
    <w:bookmarkStart w:id="164"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64"/>
    <w:bookmarkStart w:id="165"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65"/>
    <w:bookmarkStart w:id="166"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66"/>
    <w:bookmarkStart w:id="167"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67"/>
    <w:bookmarkStart w:id="168"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68"/>
    <w:bookmarkStart w:id="169"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69"/>
    <w:bookmarkStart w:id="170"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70"/>
    <w:bookmarkStart w:id="171"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71"/>
    <w:bookmarkStart w:id="172"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72"/>
    <w:bookmarkStart w:id="173"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73"/>
    <w:bookmarkStart w:id="174"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74"/>
    <w:bookmarkStart w:id="175"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75"/>
    <w:bookmarkStart w:id="176"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76"/>
    <w:bookmarkStart w:id="177"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77"/>
    <w:bookmarkStart w:id="179"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78">
        <w:r>
          <w:rPr>
            <w:rStyle w:val="Hyperlink"/>
          </w:rPr>
          <w:t xml:space="preserve">https://doi.org/10.1111/gcb.16334</w:t>
        </w:r>
      </w:hyperlink>
      <w:r>
        <w:t xml:space="preserve">.</w:t>
      </w:r>
    </w:p>
    <w:bookmarkEnd w:id="179"/>
    <w:bookmarkStart w:id="180"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0"/>
    <w:bookmarkStart w:id="181"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1"/>
    <w:bookmarkStart w:id="182"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82"/>
    <w:bookmarkStart w:id="183" w:name="ref-Ordonez2017"/>
    <w:p>
      <w:pPr>
        <w:pStyle w:val="Bibliography"/>
      </w:pPr>
      <w:r>
        <w:t xml:space="preserve">Ordonez, A., and J. C Svenning. 2017.</w:t>
      </w:r>
      <w:r>
        <w:t xml:space="preserve"> </w:t>
      </w:r>
      <w:r>
        <w:t xml:space="preserve">“Consistent Role of Quaternary Climate Change in Shaping Current Plant Functional Diversity Patterns Across European Plant Orders.”</w:t>
      </w:r>
      <w:r>
        <w:t xml:space="preserve"> </w:t>
      </w:r>
      <w:r>
        <w:rPr>
          <w:i/>
          <w:iCs/>
        </w:rPr>
        <w:t xml:space="preserve">Scientific Reports,</w:t>
      </w:r>
      <w:r>
        <w:t xml:space="preserve"> </w:t>
      </w:r>
      <w:r>
        <w:t xml:space="preserve">7 (1): 42988.</w:t>
      </w:r>
    </w:p>
    <w:bookmarkEnd w:id="183"/>
    <w:bookmarkStart w:id="184"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84"/>
    <w:bookmarkStart w:id="185"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85"/>
    <w:bookmarkStart w:id="186"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86"/>
    <w:bookmarkStart w:id="187"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87"/>
    <w:bookmarkStart w:id="188" w:name="ref-safi2011understanding"/>
    <w:p>
      <w:pPr>
        <w:pStyle w:val="Bibliography"/>
      </w:pPr>
      <w:r>
        <w:t xml:space="preserve">Safi, Kamran, Marcus V Cianciaruso, Rafael D Loyola, Daniel Brito, Katrina Armour-Marshall, and José Alexandre F Diniz-Filho. 2011.</w:t>
      </w:r>
      <w:r>
        <w:t xml:space="preserve"> </w:t>
      </w:r>
      <w:r>
        <w:t xml:space="preserve">“Understanding Global Patterns of Mammalian Functional and Phylogenetic Diversity.”</w:t>
      </w:r>
      <w:r>
        <w:t xml:space="preserve"> </w:t>
      </w:r>
      <w:r>
        <w:rPr>
          <w:i/>
          <w:iCs/>
        </w:rPr>
        <w:t xml:space="preserve">Philosophical Transactions of the Royal Society B: Biological Sciences</w:t>
      </w:r>
      <w:r>
        <w:t xml:space="preserve"> </w:t>
      </w:r>
      <w:r>
        <w:t xml:space="preserve">366 (1577): 2536.</w:t>
      </w:r>
    </w:p>
    <w:bookmarkEnd w:id="188"/>
    <w:bookmarkStart w:id="189"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189"/>
    <w:bookmarkStart w:id="190"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190"/>
    <w:bookmarkStart w:id="191"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191"/>
    <w:bookmarkStart w:id="193"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192">
        <w:r>
          <w:rPr>
            <w:rStyle w:val="Hyperlink"/>
          </w:rPr>
          <w:t xml:space="preserve">https://doi.org/10.1111/ecog.02118</w:t>
        </w:r>
      </w:hyperlink>
      <w:r>
        <w:t xml:space="preserve">.</w:t>
      </w:r>
    </w:p>
    <w:bookmarkEnd w:id="193"/>
    <w:bookmarkStart w:id="194"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194"/>
    <w:bookmarkStart w:id="195"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195"/>
    <w:bookmarkStart w:id="196"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196"/>
    <w:bookmarkStart w:id="197" w:name="ref-Swenson2012"/>
    <w:p>
      <w:pPr>
        <w:pStyle w:val="Bibliography"/>
      </w:pPr>
      <w:r>
        <w:t xml:space="preserve">Swenson, N. G., Enquist, J., B., M. D., others, and K. M and Nolting. 2012.</w:t>
      </w:r>
      <w:r>
        <w:t xml:space="preserve"> </w:t>
      </w:r>
      <w:r>
        <w:t xml:space="preserve">“The Biogeography and Filtering of Woody Plant Functional Diversity in North and South America.”</w:t>
      </w:r>
      <w:r>
        <w:t xml:space="preserve"> </w:t>
      </w:r>
      <w:r>
        <w:rPr>
          <w:i/>
          <w:iCs/>
        </w:rPr>
        <w:t xml:space="preserve">Global Ecology and Biogeography,</w:t>
      </w:r>
      <w:r>
        <w:t xml:space="preserve"> </w:t>
      </w:r>
      <w:r>
        <w:t xml:space="preserve">21 (8): 798–808.</w:t>
      </w:r>
    </w:p>
    <w:bookmarkEnd w:id="197"/>
    <w:bookmarkStart w:id="198"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198"/>
    <w:bookmarkStart w:id="199"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199"/>
    <w:bookmarkStart w:id="201"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00">
        <w:r>
          <w:rPr>
            <w:rStyle w:val="Hyperlink"/>
          </w:rPr>
          <w:t xml:space="preserve">https://doi.org/10.1016/j.biocon.2018.05.022</w:t>
        </w:r>
      </w:hyperlink>
      <w:r>
        <w:t xml:space="preserve">.</w:t>
      </w:r>
    </w:p>
    <w:bookmarkEnd w:id="201"/>
    <w:bookmarkStart w:id="202"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02"/>
    <w:bookmarkStart w:id="203"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03"/>
    <w:bookmarkStart w:id="204"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04"/>
    <w:bookmarkStart w:id="206"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05">
        <w:r>
          <w:rPr>
            <w:rStyle w:val="Hyperlink"/>
          </w:rPr>
          <w:t xml:space="preserve">https://doi.org/10.1890/13-1917.1</w:t>
        </w:r>
      </w:hyperlink>
      <w:r>
        <w:t xml:space="preserve">.</w:t>
      </w:r>
    </w:p>
    <w:bookmarkEnd w:id="206"/>
    <w:bookmarkStart w:id="208"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07">
        <w:r>
          <w:rPr>
            <w:rStyle w:val="Hyperlink"/>
          </w:rPr>
          <w:t xml:space="preserve">https://doi.org/10.1201/9781315370279</w:t>
        </w:r>
      </w:hyperlink>
      <w:r>
        <w:t xml:space="preserve">.</w:t>
      </w:r>
    </w:p>
    <w:bookmarkEnd w:id="208"/>
    <w:bookmarkStart w:id="209"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09"/>
    <w:bookmarkStart w:id="210"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10"/>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97" Target="media/rId97.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89" Target="media/rId89.png" /><Relationship Type="http://schemas.openxmlformats.org/officeDocument/2006/relationships/image" Id="rId77" Target="media/rId77.png" /><Relationship Type="http://schemas.openxmlformats.org/officeDocument/2006/relationships/image" Id="rId40" Target="media/rId40.png" /><Relationship Type="http://schemas.openxmlformats.org/officeDocument/2006/relationships/image" Id="rId73" Target="media/rId73.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image" Id="rId93" Target="media/rId93.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65" Target="media/rId65.png" /><Relationship Type="http://schemas.openxmlformats.org/officeDocument/2006/relationships/image" Id="rId85" Target="media/rId85.png" /><Relationship Type="http://schemas.openxmlformats.org/officeDocument/2006/relationships/hyperlink" Id="rId149" Target="https://doi.org/10.1002/eap.2731" TargetMode="External" /><Relationship Type="http://schemas.openxmlformats.org/officeDocument/2006/relationships/hyperlink" Id="rId137" Target="https://doi.org/10.1002/joc.5086" TargetMode="External" /><Relationship Type="http://schemas.openxmlformats.org/officeDocument/2006/relationships/hyperlink" Id="rId200" Target="https://doi.org/10.1016/j.biocon.2018.05.022" TargetMode="External" /><Relationship Type="http://schemas.openxmlformats.org/officeDocument/2006/relationships/hyperlink" Id="rId157" Target="https://doi.org/10.1038/s41597-019-0174-2" TargetMode="External" /><Relationship Type="http://schemas.openxmlformats.org/officeDocument/2006/relationships/hyperlink" Id="rId147" Target="https://doi.org/10.1111/1365-2664.14309" TargetMode="External" /><Relationship Type="http://schemas.openxmlformats.org/officeDocument/2006/relationships/hyperlink" Id="rId192" Target="https://doi.org/10.1111/ecog.02118" TargetMode="External" /><Relationship Type="http://schemas.openxmlformats.org/officeDocument/2006/relationships/hyperlink" Id="rId124" Target="https://doi.org/10.1111/ele.13640" TargetMode="External" /><Relationship Type="http://schemas.openxmlformats.org/officeDocument/2006/relationships/hyperlink" Id="rId178" Target="https://doi.org/10.1111/gcb.16334" TargetMode="External" /><Relationship Type="http://schemas.openxmlformats.org/officeDocument/2006/relationships/hyperlink" Id="rId129" Target="https://doi.org/10.1111/geb.13667" TargetMode="External" /><Relationship Type="http://schemas.openxmlformats.org/officeDocument/2006/relationships/hyperlink" Id="rId143" Target="https://doi.org/10.1111/jbi.12591" TargetMode="External" /><Relationship Type="http://schemas.openxmlformats.org/officeDocument/2006/relationships/hyperlink" Id="rId207" Target="https://doi.org/10.1201/9781315370279" TargetMode="External" /><Relationship Type="http://schemas.openxmlformats.org/officeDocument/2006/relationships/hyperlink" Id="rId205" Target="https://doi.org/10.1890/13-1917.1"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2/eap.2731" TargetMode="External" /><Relationship Type="http://schemas.openxmlformats.org/officeDocument/2006/relationships/hyperlink" Id="rId137" Target="https://doi.org/10.1002/joc.5086" TargetMode="External" /><Relationship Type="http://schemas.openxmlformats.org/officeDocument/2006/relationships/hyperlink" Id="rId200" Target="https://doi.org/10.1016/j.biocon.2018.05.022" TargetMode="External" /><Relationship Type="http://schemas.openxmlformats.org/officeDocument/2006/relationships/hyperlink" Id="rId157" Target="https://doi.org/10.1038/s41597-019-0174-2" TargetMode="External" /><Relationship Type="http://schemas.openxmlformats.org/officeDocument/2006/relationships/hyperlink" Id="rId147" Target="https://doi.org/10.1111/1365-2664.14309" TargetMode="External" /><Relationship Type="http://schemas.openxmlformats.org/officeDocument/2006/relationships/hyperlink" Id="rId192" Target="https://doi.org/10.1111/ecog.02118" TargetMode="External" /><Relationship Type="http://schemas.openxmlformats.org/officeDocument/2006/relationships/hyperlink" Id="rId124" Target="https://doi.org/10.1111/ele.13640" TargetMode="External" /><Relationship Type="http://schemas.openxmlformats.org/officeDocument/2006/relationships/hyperlink" Id="rId178" Target="https://doi.org/10.1111/gcb.16334" TargetMode="External" /><Relationship Type="http://schemas.openxmlformats.org/officeDocument/2006/relationships/hyperlink" Id="rId129" Target="https://doi.org/10.1111/geb.13667" TargetMode="External" /><Relationship Type="http://schemas.openxmlformats.org/officeDocument/2006/relationships/hyperlink" Id="rId143" Target="https://doi.org/10.1111/jbi.12591" TargetMode="External" /><Relationship Type="http://schemas.openxmlformats.org/officeDocument/2006/relationships/hyperlink" Id="rId207" Target="https://doi.org/10.1201/9781315370279" TargetMode="External" /><Relationship Type="http://schemas.openxmlformats.org/officeDocument/2006/relationships/hyperlink" Id="rId205" Target="https://doi.org/10.1890/13-191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responses of producers and consumers to climate generate functional trophic asymmetry</dc:title>
  <dc:creator/>
  <cp:keywords>Community assembly, Environmental filtering, Functional diversity, Functional richness, Functional dispersion, Multitrophic assemblages</cp:keywords>
  <dcterms:created xsi:type="dcterms:W3CDTF">2026-07-18T16:48:03Z</dcterms:created>
  <dcterms:modified xsi:type="dcterms:W3CDTF">2026-07-18T16:48:03Z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functional trait data, and pairwise mutualistic interactions to estimate functional trophic asymmetry across the Neotropics. To overcome incomplete interaction data, we trained machine-learning models to downscale a continental interaction metaweb into grid-cell synthetic ecological networks. Functional richness and functional dispersion were quantified independently for palms and mammals, and FTA was estimated as the difference between trophic levels. Generalized additive models were used to relate geographic variation in FTA to major climatic gradients.Results: Functional trophic asymmetry exhibited pronounced geographic variation across the Neotropics, arising primarily because climatic gradients affected mammalian functional diversity more strongly than palm functional diversity. Climatic effects differed between dimensions of functional diversity: functional richness asymmetry showed little climatic structure, whereas functional dispersion asymmetry varied strongly along a broad climatic gradient from warm, wet, climatically stable environments to colder, drier, and more seasonal regions. These patterns indicate that contemporary climate reorganizes the distribution of consumer functional strategies more readily than the breadth of functional strategies represented across trophic levels.Main conclusions: Differential climatic filtering across trophic levels generates geographic variation in functional trophic asymmetry, providing a mechanistic link between broad-scale environmental gradients and the functional organization of multitrophic communities. By integrating trait-based ecology across trophic levels, FTA provides a general framework for investigating how environmental change reshapes interaction niches and the functional organization of ecological networks across ecosystems.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2026-07-18</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