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91.png" ContentType="image/png"/>
  <Override PartName="/word/media/rId87.png" ContentType="image/png"/>
  <Override PartName="/word/media/rId67.png" ContentType="image/png"/>
  <Override PartName="/word/media/rId59.png" ContentType="image/png"/>
  <Override PartName="/word/media/rId45.png" ContentType="image/png"/>
  <Override PartName="/word/media/rId20.png" ContentType="image/png"/>
  <Override PartName="/word/media/rId75.png" ContentType="image/png"/>
  <Override PartName="/word/media/rId28.png" ContentType="image/png"/>
  <Override PartName="/word/media/rId35.png" ContentType="image/png"/>
  <Override PartName="/word/media/rId83.png" ContentType="image/png"/>
  <Override PartName="/word/media/rId79.png" ContentType="image/png"/>
  <Override PartName="/word/media/rId71.png" ContentType="image/png"/>
  <Override PartName="/word/media/rId6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2026-09-07</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conditions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w:t>
      </w:r>
      <w:r>
        <w:t xml:space="preserve"> </w:t>
      </w:r>
      <w:r>
        <w:t xml:space="preserve">(McCain and King 2014; Moretti and Legg 2009; Kissling et al. 2012)</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67074"/>
                  <wp:effectExtent b="0" l="0" r="0" t="0"/>
                  <wp:docPr descr="" title="" id="21" name="Picture"/>
                  <a:graphic>
                    <a:graphicData uri="http://schemas.openxmlformats.org/drawingml/2006/picture">
                      <pic:pic>
                        <pic:nvPicPr>
                          <pic:cNvPr descr="images/clipboard-2613135920.png" id="22" name="Picture"/>
                          <pic:cNvPicPr>
                            <a:picLocks noChangeArrowheads="1" noChangeAspect="1"/>
                          </pic:cNvPicPr>
                        </pic:nvPicPr>
                        <pic:blipFill>
                          <a:blip r:embed="rId20"/>
                          <a:stretch>
                            <a:fillRect/>
                          </a:stretch>
                        </pic:blipFill>
                        <pic:spPr bwMode="auto">
                          <a:xfrm>
                            <a:off x="0" y="0"/>
                            <a:ext cx="5334000" cy="35670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large-scale climatic variation across Neotropical biogeographic provinces under contemporary, mid-Holocene (~6ka), and Last Glacial Maximum (LGM) (~21ka) conditions. The contemporary climatic baseline underlying PaleoClim was derived from the Climatologies at High Resolution for the Earth’s Land Surface Areas (CHELSA) dataset</w:t>
      </w:r>
      <w:r>
        <w:t xml:space="preserve"> </w:t>
      </w:r>
      <w:r>
        <w:t xml:space="preserve">(Karger et al. 2017)</w:t>
      </w:r>
      <w:r>
        <w:t xml:space="preserve">. For each province and climatic period, we calculated the mean of each bioclimatic variable by averaging the raster cells contained within each biogeographic provinces. To reduce dimensionality while accounting for collinearity among climatic predictors, we performed a principal component analysis (PCA) on the bioclimatic variables for each climatic period (i.e. contemporary, mid-Holocene, LGM conditions ) (</w:t>
      </w:r>
      <w:hyperlink w:anchor="fig-02">
        <w:r>
          <w:rPr>
            <w:rStyle w:val="Hyperlink"/>
          </w:rPr>
          <w:t xml:space="preserve">Figure 2</w:t>
        </w:r>
      </w:hyperlink>
      <w:r>
        <w:t xml:space="preserve">; Figure S1). Because the signs of PCA axes are arbitrary across time periods, PC1 and PC2 were oriented consistently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and climatic period, we fitted separate Generalized Additive Models (GAMs) containing penalized thin-plate regression splines for period-specific climatic PC axes:</w:t>
      </w:r>
      <w:r>
        <w:t xml:space="preserve"> </w:t>
      </w:r>
      <m:oMath>
        <m:r>
          <m:t>F</m:t>
        </m:r>
        <m:r>
          <m:t>D</m:t>
        </m:r>
        <m:r>
          <m:rPr>
            <m:sty m:val="p"/>
          </m:rPr>
          <m:t>=</m:t>
        </m:r>
        <m:r>
          <m:t>s</m:t>
        </m:r>
        <m:d>
          <m:dPr>
            <m:begChr m:val="("/>
            <m:endChr m:val=")"/>
            <m:sepChr m:val=""/>
            <m:grow/>
          </m:dPr>
          <m:e>
            <m:r>
              <m:t>P</m:t>
            </m:r>
            <m:r>
              <m:t>C</m:t>
            </m:r>
            <m:sSub>
              <m:e>
                <m:r>
                  <m:t>1</m:t>
                </m:r>
              </m:e>
              <m:sub>
                <m:r>
                  <m:t>t</m:t>
                </m:r>
              </m:sub>
            </m:sSub>
          </m:e>
        </m:d>
        <m:r>
          <m:rPr>
            <m:sty m:val="p"/>
          </m:rPr>
          <m:t>+</m:t>
        </m:r>
        <m:r>
          <m:t>s</m:t>
        </m:r>
        <m:d>
          <m:dPr>
            <m:begChr m:val="("/>
            <m:endChr m:val=")"/>
            <m:sepChr m:val=""/>
            <m:grow/>
          </m:dPr>
          <m:e>
            <m:r>
              <m:t>P</m:t>
            </m:r>
            <m:r>
              <m:t>C</m:t>
            </m:r>
            <m:sSub>
              <m:e>
                <m:r>
                  <m:t>2</m:t>
                </m:r>
              </m:e>
              <m:sub>
                <m:r>
                  <m:t>t</m:t>
                </m:r>
              </m:sub>
            </m:sSub>
          </m:e>
        </m:d>
      </m:oMath>
      <w:r>
        <w:t xml:space="preserve"> </w:t>
      </w:r>
      <w:r>
        <w:t xml:space="preserve">where (t) represents a climatic period. Models were fit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Smooths were fitted using a conservative basis dimension of (k=4), and models were estimated by restricted maximum likelihood with shrinkage selection</w:t>
      </w:r>
      <w:r>
        <w:t xml:space="preserve"> </w:t>
      </w:r>
      <w:r>
        <w:t xml:space="preserve">(Wood and N 2017)</w:t>
      </w:r>
      <w:r>
        <w:t xml:space="preserve">. Tensor-product interactions were not included. Additionally, to determine whether climatic associations persisted after accounting for broad-scale spatial structure, we fitted spatial sensitivity models that included a two-dimensional smooth of longitude and latitude centroids for each biogeographic province</w:t>
      </w:r>
      <w:r>
        <w:t xml:space="preserve"> </w:t>
      </w:r>
      <m:oMath>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Model adequacy was assessed by visual inspection of residual-versus-fitted and normal QQ plots (Figures S7–S8). The explanatory performance of the three temporal models was compared using AIC, adjusted (</w:t>
      </w:r>
      <m:oMath>
        <m:sSup>
          <m:e>
            <m:r>
              <m:t>R</m:t>
            </m:r>
          </m:e>
          <m:sup>
            <m:r>
              <m:t>2</m:t>
            </m:r>
          </m:sup>
        </m:sSup>
      </m:oMath>
      <w:r>
        <w:t xml:space="preserve">), and deviance explained (%).</w:t>
      </w:r>
    </w:p>
    <w:bookmarkEnd w:id="33"/>
    <w:bookmarkEnd w:id="34"/>
    <w:bookmarkStart w:id="53"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2689465"/>
                  <wp:effectExtent b="0" l="0" r="0" t="0"/>
                  <wp:docPr descr="" title="" id="36" name="Picture"/>
                  <a:graphic>
                    <a:graphicData uri="http://schemas.openxmlformats.org/drawingml/2006/picture">
                      <pic:pic>
                        <pic:nvPicPr>
                          <pic:cNvPr descr="images/clipboard-3632621564.png" id="37" name="Picture"/>
                          <pic:cNvPicPr>
                            <a:picLocks noChangeArrowheads="1" noChangeAspect="1"/>
                          </pic:cNvPicPr>
                        </pic:nvPicPr>
                        <pic:blipFill>
                          <a:blip r:embed="rId35"/>
                          <a:stretch>
                            <a:fillRect/>
                          </a:stretch>
                        </pic:blipFill>
                        <pic:spPr bwMode="auto">
                          <a:xfrm>
                            <a:off x="0" y="0"/>
                            <a:ext cx="5334000" cy="26894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We found weak relationships between current climate and present-day FRic. Palm SES-FRic declined non-linearly with PC1 (</w:t>
      </w:r>
      <w:hyperlink w:anchor="fig-04">
        <w:r>
          <w:rPr>
            <w:rStyle w:val="Hyperlink"/>
          </w:rPr>
          <w:t xml:space="preserve">Figure 4</w:t>
        </w:r>
      </w:hyperlink>
      <w:r>
        <w:t xml:space="preserve"> </w:t>
      </w:r>
      <w:r>
        <w:t xml:space="preserve">A) , whereas mammal SES-FRic increased slightly with PC2 (</w:t>
      </w:r>
      <w:hyperlink w:anchor="fig-04">
        <w:r>
          <w:rPr>
            <w:rStyle w:val="Hyperlink"/>
          </w:rPr>
          <w:t xml:space="preserve">Figure 4</w:t>
        </w:r>
      </w:hyperlink>
      <w:r>
        <w:t xml:space="preserve"> </w:t>
      </w:r>
      <w:r>
        <w:t xml:space="preserve">B), although neither relationship was statistically supported (Table 1). Current climate was more strongly associated with present-day FDis: mammal traits became increasingly clustered toward cooler, drier, and more thermally seasonal environments (</w:t>
      </w:r>
      <w:hyperlink w:anchor="fig-04">
        <w:r>
          <w:rPr>
            <w:rStyle w:val="Hyperlink"/>
          </w:rPr>
          <w:t xml:space="preserve">Figure 4</w:t>
        </w:r>
      </w:hyperlink>
      <w:r>
        <w:t xml:space="preserve"> </w:t>
      </w:r>
      <w:r>
        <w:t xml:space="preserve">C-D ; Table 1).</w:t>
      </w:r>
    </w:p>
    <w:p>
      <w:pPr>
        <w:pStyle w:val="BodyText"/>
      </w:pPr>
      <w:r>
        <w:t xml:space="preserve">Present-day mammal assemblages were more functionally clustered in provinces that experienced cooler, drier, and more seasonal conditions during the late Holocene (Figure S5-I ; Table 1). Present-day palm assemblages occupied less trait space in provinces characterized by the coolest, driest, and most thermally seasonal LGM conditions (Figure S5-E ;Table 1). In contrast, present-day mammal assemblages occupied more trait space in provinces that experienced cooler, wetter, and less seasonal LGM conditions (Figure S5-F ; Table 1), with trait dispersion greatest under intermediate LGM climates (Figure S5-L ; Table 1). For functional diversity, model diagnostics showed broadly normal residual distributions, with minor tail departures and some residual curvature in models with low explained deviance (Figures S7;S8). Additionally, accounting for spatial structure improved model fit for palm FRic (ΔAIC = 5.52), palm FDis (ΔAIC = 17.9), and mammal FRic (ΔAIC = 15.6). Mammal FDis was unchanged (ΔAIC ≈ 0), indicating little additional contribution from spatial structure (Figure S9).</w:t>
      </w:r>
    </w:p>
    <w:p>
      <w:pPr>
        <w:pStyle w:val="BodyText"/>
      </w:pPr>
      <w:r>
        <w:t xml:space="preserve">We found the clearest support for past climatic associations in mammals. LGM models explained 18.9% of mammal SES-FRic and 41.6% of mammal SES-FDis variation, compared with 2.7% and 33.8% for current-climate models (</w:t>
      </w:r>
      <w:r>
        <w:rPr>
          <w:b/>
          <w:bCs/>
        </w:rPr>
        <w:t xml:space="preserve">?@fig-06</w:t>
      </w:r>
      <w:r>
        <w:t xml:space="preserve"> </w:t>
      </w:r>
      <w:r>
        <w:t xml:space="preserve">A-B; Table 2). For palms, associations with current and past climate were often similarly informative (ΔAAIC &lt; 2) (</w:t>
      </w:r>
      <w:r>
        <w:rPr>
          <w:b/>
          <w:bCs/>
        </w:rPr>
        <w:t xml:space="preserve">?@fig-06</w:t>
      </w:r>
      <w:r>
        <w:t xml:space="preserve"> </w:t>
      </w:r>
      <w:r>
        <w:t xml:space="preserve">A-B;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056551"/>
                  <wp:effectExtent b="0" l="0" r="0" t="0"/>
                  <wp:docPr descr="" title="" id="41" name="Picture"/>
                  <a:graphic>
                    <a:graphicData uri="http://schemas.openxmlformats.org/drawingml/2006/picture">
                      <pic:pic>
                        <pic:nvPicPr>
                          <pic:cNvPr descr="images/clipboard-908738126.png" id="42" name="Picture"/>
                          <pic:cNvPicPr>
                            <a:picLocks noChangeArrowheads="1" noChangeAspect="1"/>
                          </pic:cNvPicPr>
                        </pic:nvPicPr>
                        <pic:blipFill>
                          <a:blip r:embed="rId40"/>
                          <a:stretch>
                            <a:fillRect/>
                          </a:stretch>
                        </pic:blipFill>
                        <pic:spPr bwMode="auto">
                          <a:xfrm>
                            <a:off x="0" y="0"/>
                            <a:ext cx="5334000" cy="4056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FRic-FTA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FDis-FTA,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statistically significant (Table 1). The late-Holocene model received the most support and explained 31.9% of the deviance (Table 2). For FTA, residuals were also approximately normal. The residual-versus-fitted plots showed limited remaining structure, although with a few outliers present, particularly in the LGM models (Figure S7; S8). Adding spatial structure improved both models. The improvement was stronger for FTA-FRic (ΔAIC = 12.9) than for FDis-FTA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647139"/>
                  <wp:effectExtent b="0" l="0" r="0" t="0"/>
                  <wp:docPr descr="" title="" id="46" name="Picture"/>
                  <a:graphic>
                    <a:graphicData uri="http://schemas.openxmlformats.org/drawingml/2006/picture">
                      <pic:pic>
                        <pic:nvPicPr>
                          <pic:cNvPr descr="images/clipboard-2235762492.png" id="47" name="Picture"/>
                          <pic:cNvPicPr>
                            <a:picLocks noChangeArrowheads="1" noChangeAspect="1"/>
                          </pic:cNvPicPr>
                        </pic:nvPicPr>
                        <pic:blipFill>
                          <a:blip r:embed="rId45"/>
                          <a:stretch>
                            <a:fillRect/>
                          </a:stretch>
                        </pic:blipFill>
                        <pic:spPr bwMode="auto">
                          <a:xfrm>
                            <a:off x="0" y="0"/>
                            <a:ext cx="5334000" cy="36471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Climate associations with FRic, FDis, and FTA.</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4830"/>
              <w:tblLayout w:type="fixed"/>
              <w:tblLook w:firstRow="1" w:lastRow="0" w:firstColumn="0" w:lastColumn="0" w:noHBand="0" w:noVBand="0" w:val="0020"/>
            </w:tblPr>
            <w:tblGrid>
              <w:gridCol w:w="1185"/>
              <w:gridCol w:w="1077"/>
              <w:gridCol w:w="1185"/>
              <w:gridCol w:w="808"/>
              <w:gridCol w:w="1293"/>
              <w:gridCol w:w="808"/>
              <w:gridCol w:w="1293"/>
            </w:tblGrid>
            <w:tr>
              <w:trPr>
                <w:tblHeader w:val="on"/>
              </w:trPr>
              <w:tc>
                <w:tcPr/>
                <w:p>
                  <w:pPr>
                    <w:pStyle w:val="Compact"/>
                    <w:jc w:val="center"/>
                  </w:pPr>
                  <w:r>
                    <w:t xml:space="preserve">Climate axis</w:t>
                  </w:r>
                </w:p>
              </w:tc>
              <w:tc>
                <w:tcPr/>
                <w:p>
                  <w:pPr>
                    <w:pStyle w:val="Compact"/>
                    <w:jc w:val="center"/>
                  </w:pPr>
                  <w:r>
                    <w:t xml:space="preserve">Palm</w:t>
                  </w:r>
                  <w:r>
                    <w:br/>
                  </w:r>
                  <w:r>
                    <w:t xml:space="preserve">FRic</w:t>
                  </w:r>
                </w:p>
              </w:tc>
              <w:tc>
                <w:tcPr/>
                <w:p>
                  <w:pPr>
                    <w:pStyle w:val="Compact"/>
                    <w:jc w:val="center"/>
                  </w:pPr>
                  <w:r>
                    <w:t xml:space="preserve">Palm</w:t>
                  </w:r>
                  <w:r>
                    <w:br/>
                  </w:r>
                  <w:r>
                    <w:t xml:space="preserve">FDis</w:t>
                  </w:r>
                </w:p>
              </w:tc>
              <w:tc>
                <w:tcPr/>
                <w:p>
                  <w:pPr>
                    <w:pStyle w:val="Compact"/>
                    <w:jc w:val="center"/>
                  </w:pPr>
                  <w:r>
                    <w:t xml:space="preserve">Mammal</w:t>
                  </w:r>
                  <w:r>
                    <w:br/>
                  </w:r>
                  <w:r>
                    <w:t xml:space="preserve">FRic</w:t>
                  </w:r>
                </w:p>
              </w:tc>
              <w:tc>
                <w:tcPr/>
                <w:p>
                  <w:pPr>
                    <w:pStyle w:val="Compact"/>
                    <w:jc w:val="center"/>
                  </w:pPr>
                  <w:r>
                    <w:t xml:space="preserve">Mammal</w:t>
                  </w:r>
                  <w:r>
                    <w:br/>
                  </w:r>
                  <w:r>
                    <w:t xml:space="preserve">FDis</w:t>
                  </w:r>
                </w:p>
              </w:tc>
              <w:tc>
                <w:tcPr/>
                <w:p>
                  <w:pPr>
                    <w:pStyle w:val="Compact"/>
                    <w:jc w:val="center"/>
                  </w:pPr>
                  <w:r>
                    <w:t xml:space="preserve">FTA</w:t>
                  </w:r>
                  <w:r>
                    <w:br/>
                  </w:r>
                  <w:r>
                    <w:t xml:space="preserve">FRic</w:t>
                  </w:r>
                </w:p>
              </w:tc>
              <w:tc>
                <w:tcPr/>
                <w:p>
                  <w:pPr>
                    <w:pStyle w:val="Compact"/>
                    <w:jc w:val="center"/>
                  </w:pPr>
                  <w:r>
                    <w:t xml:space="preserve">FTA</w:t>
                  </w:r>
                  <w:r>
                    <w:br/>
                  </w:r>
                  <w:r>
                    <w:t xml:space="preserve">FDis</w:t>
                  </w:r>
                </w:p>
              </w:tc>
            </w:tr>
            <w:tr>
              <w:tc>
                <w:tcPr/>
                <w:p>
                  <w:pPr>
                    <w:pStyle w:val="Compact"/>
                    <w:jc w:val="center"/>
                  </w:pPr>
                  <w:r>
                    <w:rPr>
                      <w:b/>
                      <w:bCs/>
                    </w:rPr>
                    <w:t xml:space="preserve">Current PC1</w:t>
                  </w:r>
                </w:p>
              </w:tc>
              <w:tc>
                <w:tcPr/>
                <w:p>
                  <w:pPr>
                    <w:pStyle w:val="Compact"/>
                    <w:jc w:val="center"/>
                  </w:pPr>
                  <w:r>
                    <w:rPr>
                      <w:b/>
                      <w:bCs/>
                    </w:rPr>
                    <w:t xml:space="preserve">1.24 (1.15)*</w:t>
                  </w:r>
                </w:p>
              </w:tc>
              <w:tc>
                <w:tcPr/>
                <w:p>
                  <w:pPr>
                    <w:pStyle w:val="Compact"/>
                    <w:jc w:val="center"/>
                  </w:pPr>
                  <w:r>
                    <w:t xml:space="preserve">0.15 (0.35)</w:t>
                  </w:r>
                </w:p>
              </w:tc>
              <w:tc>
                <w:tcPr/>
                <w:p>
                  <w:pPr>
                    <w:pStyle w:val="Compact"/>
                    <w:jc w:val="center"/>
                  </w:pPr>
                  <w:r>
                    <w:t xml:space="preserve">0.45 (0.83)</w:t>
                  </w:r>
                </w:p>
              </w:tc>
              <w:tc>
                <w:tcPr/>
                <w:p>
                  <w:pPr>
                    <w:pStyle w:val="Compact"/>
                    <w:jc w:val="center"/>
                  </w:pPr>
                  <w:r>
                    <w:rPr>
                      <w:b/>
                      <w:bCs/>
                    </w:rPr>
                    <w:t xml:space="preserve">4.19 (0.93)***</w:t>
                  </w:r>
                </w:p>
              </w:tc>
              <w:tc>
                <w:tcPr/>
                <w:p>
                  <w:pPr>
                    <w:pStyle w:val="Compact"/>
                    <w:jc w:val="center"/>
                  </w:pPr>
                  <w:r>
                    <w:t xml:space="preserve">0.00 (0.00)</w:t>
                  </w:r>
                </w:p>
              </w:tc>
              <w:tc>
                <w:tcPr/>
                <w:p>
                  <w:pPr>
                    <w:pStyle w:val="Compact"/>
                    <w:jc w:val="center"/>
                  </w:pPr>
                  <w:r>
                    <w:rPr>
                      <w:b/>
                      <w:bCs/>
                    </w:rPr>
                    <w:t xml:space="preserve">5.07 (1.65)***</w:t>
                  </w:r>
                </w:p>
              </w:tc>
            </w:tr>
            <w:tr>
              <w:tc>
                <w:tcPr/>
                <w:p>
                  <w:pPr>
                    <w:pStyle w:val="Compact"/>
                    <w:jc w:val="center"/>
                  </w:pPr>
                  <w:r>
                    <w:rPr>
                      <w:b/>
                      <w:bCs/>
                    </w:rPr>
                    <w:t xml:space="preserve">Current PC2</w:t>
                  </w:r>
                </w:p>
              </w:tc>
              <w:tc>
                <w:tcPr/>
                <w:p>
                  <w:pPr>
                    <w:pStyle w:val="Compact"/>
                    <w:jc w:val="center"/>
                  </w:pPr>
                  <w:r>
                    <w:t xml:space="preserve">0.00 (0.00)</w:t>
                  </w:r>
                </w:p>
              </w:tc>
              <w:tc>
                <w:tcPr/>
                <w:p>
                  <w:pPr>
                    <w:pStyle w:val="Compact"/>
                    <w:jc w:val="center"/>
                  </w:pPr>
                  <w:r>
                    <w:t xml:space="preserve">1.05 (1.15)·</w:t>
                  </w:r>
                </w:p>
              </w:tc>
              <w:tc>
                <w:tcPr/>
                <w:p>
                  <w:pPr>
                    <w:pStyle w:val="Compact"/>
                    <w:jc w:val="center"/>
                  </w:pPr>
                  <w:r>
                    <w:t xml:space="preserve">0.71 (0.68)·</w:t>
                  </w:r>
                </w:p>
              </w:tc>
              <w:tc>
                <w:tcPr/>
                <w:p>
                  <w:pPr>
                    <w:pStyle w:val="Compact"/>
                    <w:jc w:val="center"/>
                  </w:pPr>
                  <w:r>
                    <w:rPr>
                      <w:b/>
                      <w:bCs/>
                    </w:rPr>
                    <w:t xml:space="preserve">3.01 (1.54)**</w:t>
                  </w:r>
                </w:p>
              </w:tc>
              <w:tc>
                <w:tcPr/>
                <w:p>
                  <w:pPr>
                    <w:pStyle w:val="Compact"/>
                    <w:jc w:val="center"/>
                  </w:pPr>
                  <w:r>
                    <w:t xml:space="preserve">0.00 (0.00)</w:t>
                  </w:r>
                </w:p>
              </w:tc>
              <w:tc>
                <w:tcPr/>
                <w:p>
                  <w:pPr>
                    <w:pStyle w:val="Compact"/>
                    <w:jc w:val="center"/>
                  </w:pPr>
                  <w:r>
                    <w:t xml:space="preserve">0.12 (0.27)</w:t>
                  </w:r>
                </w:p>
              </w:tc>
            </w:tr>
            <w:tr>
              <w:tc>
                <w:tcPr/>
                <w:p>
                  <w:pPr>
                    <w:pStyle w:val="Compact"/>
                    <w:jc w:val="center"/>
                  </w:pPr>
                  <w:r>
                    <w:rPr>
                      <w:b/>
                      <w:bCs/>
                    </w:rPr>
                    <w:t xml:space="preserve">LH anomaly PC1</w:t>
                  </w:r>
                </w:p>
              </w:tc>
              <w:tc>
                <w:tcPr/>
                <w:p>
                  <w:pPr>
                    <w:pStyle w:val="Compact"/>
                    <w:jc w:val="center"/>
                  </w:pPr>
                  <w:r>
                    <w:t xml:space="preserve">0.64 (1.06)</w:t>
                  </w:r>
                </w:p>
              </w:tc>
              <w:tc>
                <w:tcPr/>
                <w:p>
                  <w:pPr>
                    <w:pStyle w:val="Compact"/>
                    <w:jc w:val="center"/>
                  </w:pPr>
                  <w:r>
                    <w:rPr>
                      <w:b/>
                      <w:bCs/>
                    </w:rPr>
                    <w:t xml:space="preserve">4.19 (1.72)**</w:t>
                  </w:r>
                </w:p>
              </w:tc>
              <w:tc>
                <w:tcPr/>
                <w:p>
                  <w:pPr>
                    <w:pStyle w:val="Compact"/>
                    <w:jc w:val="center"/>
                  </w:pPr>
                  <w:r>
                    <w:t xml:space="preserve">0.00 (0.00)</w:t>
                  </w:r>
                </w:p>
              </w:tc>
              <w:tc>
                <w:tcPr/>
                <w:p>
                  <w:pPr>
                    <w:pStyle w:val="Compact"/>
                    <w:jc w:val="center"/>
                  </w:pPr>
                  <w:r>
                    <w:rPr>
                      <w:b/>
                      <w:bCs/>
                    </w:rPr>
                    <w:t xml:space="preserve">2.50 (1.50)*</w:t>
                  </w:r>
                </w:p>
              </w:tc>
              <w:tc>
                <w:tcPr/>
                <w:p>
                  <w:pPr>
                    <w:pStyle w:val="Compact"/>
                    <w:jc w:val="center"/>
                  </w:pPr>
                  <w:r>
                    <w:t xml:space="preserve">0.00 (0.00)</w:t>
                  </w:r>
                </w:p>
              </w:tc>
              <w:tc>
                <w:tcPr/>
                <w:p>
                  <w:pPr>
                    <w:pStyle w:val="Compact"/>
                    <w:jc w:val="center"/>
                  </w:pPr>
                  <w:r>
                    <w:rPr>
                      <w:b/>
                      <w:bCs/>
                    </w:rPr>
                    <w:t xml:space="preserve">5.20 (1.84)**</w:t>
                  </w:r>
                </w:p>
              </w:tc>
            </w:tr>
            <w:tr>
              <w:tc>
                <w:tcPr/>
                <w:p>
                  <w:pPr>
                    <w:pStyle w:val="Compact"/>
                    <w:jc w:val="center"/>
                  </w:pPr>
                  <w:r>
                    <w:rPr>
                      <w:b/>
                      <w:bCs/>
                    </w:rPr>
                    <w:t xml:space="preserve">LH anomaly PC2</w:t>
                  </w:r>
                </w:p>
              </w:tc>
              <w:tc>
                <w:tcPr/>
                <w:p>
                  <w:pPr>
                    <w:pStyle w:val="Compact"/>
                    <w:jc w:val="center"/>
                  </w:pPr>
                  <w:r>
                    <w:t xml:space="preserve">0.86 (1.18)</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0.08 (0.20)</w:t>
                  </w:r>
                </w:p>
              </w:tc>
            </w:tr>
            <w:tr>
              <w:tc>
                <w:tcPr/>
                <w:p>
                  <w:pPr>
                    <w:pStyle w:val="Compact"/>
                    <w:jc w:val="center"/>
                  </w:pPr>
                  <w:r>
                    <w:rPr>
                      <w:b/>
                      <w:bCs/>
                    </w:rPr>
                    <w:t xml:space="preserve">LGM anomaly PC1</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1.05 (1.24)·</w:t>
                  </w:r>
                </w:p>
              </w:tc>
              <w:tc>
                <w:tcPr/>
                <w:p>
                  <w:pPr>
                    <w:pStyle w:val="Compact"/>
                    <w:jc w:val="center"/>
                  </w:pPr>
                  <w:r>
                    <w:t xml:space="preserve">0.00 (0.00)</w:t>
                  </w:r>
                </w:p>
              </w:tc>
              <w:tc>
                <w:tcPr/>
                <w:p>
                  <w:pPr>
                    <w:pStyle w:val="Compact"/>
                    <w:jc w:val="center"/>
                  </w:pPr>
                  <w:r>
                    <w:t xml:space="preserve">0.88 (1.07)·</w:t>
                  </w:r>
                </w:p>
              </w:tc>
              <w:tc>
                <w:tcPr/>
                <w:p>
                  <w:pPr>
                    <w:pStyle w:val="Compact"/>
                    <w:jc w:val="center"/>
                  </w:pPr>
                  <w:r>
                    <w:t xml:space="preserve">0.00 (0.00)</w:t>
                  </w:r>
                </w:p>
              </w:tc>
            </w:tr>
            <w:tr>
              <w:tc>
                <w:tcPr/>
                <w:p>
                  <w:pPr>
                    <w:pStyle w:val="Compact"/>
                    <w:jc w:val="center"/>
                  </w:pPr>
                  <w:r>
                    <w:rPr>
                      <w:b/>
                      <w:bCs/>
                    </w:rPr>
                    <w:t xml:space="preserve">LGM anomaly PC2</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0.14 (0.30)</w:t>
                  </w:r>
                </w:p>
              </w:tc>
              <w:tc>
                <w:tcPr/>
                <w:p>
                  <w:pPr>
                    <w:pStyle w:val="Compact"/>
                    <w:jc w:val="center"/>
                  </w:pPr>
                  <w:r>
                    <w:t xml:space="preserve">0.00 (0.00)</w:t>
                  </w:r>
                </w:p>
              </w:tc>
            </w:tr>
          </w:tbl>
        </w:tc>
      </w:tr>
    </w:tbl>
    <w:bookmarkEnd w:id="52"/>
    <w:bookmarkEnd w:id="53"/>
    <w:bookmarkStart w:id="57"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54"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historical environmental effects that may be still detectable (i.e. historical legacies)</w:t>
      </w:r>
      <w:r>
        <w:t xml:space="preserve"> </w:t>
      </w:r>
      <w:r>
        <w:t xml:space="preserve">(Wiens and Donoghue 2004)</w:t>
      </w:r>
      <w:r>
        <w:t xml:space="preserve">.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w:t>
      </w:r>
      <w:r>
        <w:t xml:space="preserve"> </w:t>
      </w:r>
      <w:r>
        <w:t xml:space="preserve">(Ackerly 2003; Wiens and Donoghue 2004)</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FRic-FTA, even where palm or mammal FRic responded, possibly because changes in one trophic level were offset by changes in the other. In contrast, climate explained substantial variation in FDis-FTA,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bookmarkEnd w:id="54"/>
    <w:bookmarkStart w:id="55"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5"/>
    <w:bookmarkStart w:id="56"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6"/>
    <w:bookmarkEnd w:id="57"/>
    <w:bookmarkStart w:id="58"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8"/>
    <w:bookmarkStart w:id="95" w:name="supplementary-material"/>
    <w:p>
      <w:pPr>
        <w:pStyle w:val="Heading2"/>
      </w:pPr>
      <w:r>
        <w:t xml:space="preserve">SUPPLEMENTARY MATERIAL</w:t>
      </w:r>
    </w:p>
    <w:bookmarkStart w:id="62"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6975230"/>
            <wp:effectExtent b="0" l="0" r="0" t="0"/>
            <wp:docPr descr="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 title="" id="60" name="Picture"/>
            <a:graphic>
              <a:graphicData uri="http://schemas.openxmlformats.org/drawingml/2006/picture">
                <pic:pic>
                  <pic:nvPicPr>
                    <pic:cNvPr descr="images/clipboard-1981784361.png" id="61" name="Picture"/>
                    <pic:cNvPicPr>
                      <a:picLocks noChangeArrowheads="1" noChangeAspect="1"/>
                    </pic:cNvPicPr>
                  </pic:nvPicPr>
                  <pic:blipFill>
                    <a:blip r:embed="rId59"/>
                    <a:stretch>
                      <a:fillRect/>
                    </a:stretch>
                  </pic:blipFill>
                  <pic:spPr bwMode="auto">
                    <a:xfrm>
                      <a:off x="0" y="0"/>
                      <a:ext cx="5334000" cy="6975230"/>
                    </a:xfrm>
                    <a:prstGeom prst="rect">
                      <a:avLst/>
                    </a:prstGeom>
                    <a:noFill/>
                    <a:ln w="9525">
                      <a:noFill/>
                      <a:headEnd/>
                      <a:tailEnd/>
                    </a:ln>
                  </pic:spPr>
                </pic:pic>
              </a:graphicData>
            </a:graphic>
          </wp:inline>
        </w:drawing>
      </w:r>
    </w:p>
    <w:p>
      <w:pPr>
        <w:pStyle w:val="ImageCaption"/>
      </w:pPr>
      <w:r>
        <w:t xml:space="preserve">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w:t>
      </w:r>
    </w:p>
    <w:bookmarkEnd w:id="62"/>
    <w:bookmarkStart w:id="66"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4" name="Picture"/>
            <a:graphic>
              <a:graphicData uri="http://schemas.openxmlformats.org/drawingml/2006/picture">
                <pic:pic>
                  <pic:nvPicPr>
                    <pic:cNvPr descr="images/clipboard-676160418.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6"/>
    <w:bookmarkStart w:id="70"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8" name="Picture"/>
            <a:graphic>
              <a:graphicData uri="http://schemas.openxmlformats.org/drawingml/2006/picture">
                <pic:pic>
                  <pic:nvPicPr>
                    <pic:cNvPr descr="images/clipboard-1614616575.png" id="69" name="Picture"/>
                    <pic:cNvPicPr>
                      <a:picLocks noChangeArrowheads="1" noChangeAspect="1"/>
                    </pic:cNvPicPr>
                  </pic:nvPicPr>
                  <pic:blipFill>
                    <a:blip r:embed="rId67"/>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0"/>
    <w:bookmarkStart w:id="74"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2" name="Picture"/>
            <a:graphic>
              <a:graphicData uri="http://schemas.openxmlformats.org/drawingml/2006/picture">
                <pic:pic>
                  <pic:nvPicPr>
                    <pic:cNvPr descr="images/clipboard-496155942.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4"/>
    <w:bookmarkStart w:id="78" w:name="Xea1d9ed6f8a8175b0752fdb51705d2d2006b4db"/>
    <w:p>
      <w:pPr>
        <w:pStyle w:val="Heading4"/>
      </w:pPr>
      <w:r>
        <w:t xml:space="preserve">Figure S5. Contemporary and past climatic associations with present-day palm and mammal functional diversity</w:t>
      </w:r>
    </w:p>
    <w:p>
      <w:pPr>
        <w:pStyle w:val="CaptionedFigure"/>
      </w:pPr>
      <w:r>
        <w:drawing>
          <wp:inline>
            <wp:extent cx="5334000" cy="3154680"/>
            <wp:effectExtent b="0" l="0" r="0" t="0"/>
            <wp:docPr descr="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 title="" id="76" name="Picture"/>
            <a:graphic>
              <a:graphicData uri="http://schemas.openxmlformats.org/drawingml/2006/picture">
                <pic:pic>
                  <pic:nvPicPr>
                    <pic:cNvPr descr="images/clipboard-3478308522.png" id="77" name="Picture"/>
                    <pic:cNvPicPr>
                      <a:picLocks noChangeArrowheads="1" noChangeAspect="1"/>
                    </pic:cNvPicPr>
                  </pic:nvPicPr>
                  <pic:blipFill>
                    <a:blip r:embed="rId75"/>
                    <a:stretch>
                      <a:fillRect/>
                    </a:stretch>
                  </pic:blipFill>
                  <pic:spPr bwMode="auto">
                    <a:xfrm>
                      <a:off x="0" y="0"/>
                      <a:ext cx="5334000" cy="3154680"/>
                    </a:xfrm>
                    <a:prstGeom prst="rect">
                      <a:avLst/>
                    </a:prstGeom>
                    <a:noFill/>
                    <a:ln w="9525">
                      <a:noFill/>
                      <a:headEnd/>
                      <a:tailEnd/>
                    </a:ln>
                  </pic:spPr>
                </pic:pic>
              </a:graphicData>
            </a:graphic>
          </wp:inline>
        </w:drawing>
      </w:r>
    </w:p>
    <w:p>
      <w:pPr>
        <w:pStyle w:val="ImageCaption"/>
      </w:pPr>
      <w:r>
        <w:t xml:space="preserve">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w:t>
      </w:r>
    </w:p>
    <w:bookmarkEnd w:id="78"/>
    <w:bookmarkStart w:id="82" w:name="X91243d3cd33de7206183b217636db7ffe0d0fc6"/>
    <w:p>
      <w:pPr>
        <w:pStyle w:val="Heading4"/>
      </w:pPr>
      <w:r>
        <w:t xml:space="preserve">Figure S6. Associations of contemporary and past climatic gradients with present-day FTA.</w:t>
      </w:r>
    </w:p>
    <w:p>
      <w:pPr>
        <w:pStyle w:val="CaptionedFigure"/>
      </w:pPr>
      <w:r>
        <w:drawing>
          <wp:inline>
            <wp:extent cx="5334000" cy="4449440"/>
            <wp:effectExtent b="0" l="0" r="0" t="0"/>
            <wp:docPr descr="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 title="" id="80" name="Picture"/>
            <a:graphic>
              <a:graphicData uri="http://schemas.openxmlformats.org/drawingml/2006/picture">
                <pic:pic>
                  <pic:nvPicPr>
                    <pic:cNvPr descr="images/clipboard-4156480202.png" id="81" name="Picture"/>
                    <pic:cNvPicPr>
                      <a:picLocks noChangeArrowheads="1" noChangeAspect="1"/>
                    </pic:cNvPicPr>
                  </pic:nvPicPr>
                  <pic:blipFill>
                    <a:blip r:embed="rId79"/>
                    <a:stretch>
                      <a:fillRect/>
                    </a:stretch>
                  </pic:blipFill>
                  <pic:spPr bwMode="auto">
                    <a:xfrm>
                      <a:off x="0" y="0"/>
                      <a:ext cx="5334000" cy="4449440"/>
                    </a:xfrm>
                    <a:prstGeom prst="rect">
                      <a:avLst/>
                    </a:prstGeom>
                    <a:noFill/>
                    <a:ln w="9525">
                      <a:noFill/>
                      <a:headEnd/>
                      <a:tailEnd/>
                    </a:ln>
                  </pic:spPr>
                </pic:pic>
              </a:graphicData>
            </a:graphic>
          </wp:inline>
        </w:drawing>
      </w:r>
    </w:p>
    <w:p>
      <w:pPr>
        <w:pStyle w:val="ImageCaption"/>
      </w:pPr>
      <w:r>
        <w:t xml:space="preserve">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w:t>
      </w:r>
    </w:p>
    <w:bookmarkEnd w:id="82"/>
    <w:bookmarkStart w:id="86" w:name="Xa647f5bd5f74485976424ac498e68cd1e6db735"/>
    <w:p>
      <w:pPr>
        <w:pStyle w:val="Heading4"/>
      </w:pPr>
      <w:r>
        <w:t xml:space="preserve">Figure S7. Diagnostic plots for the generalized additive model (FR).</w:t>
      </w:r>
    </w:p>
    <w:p>
      <w:pPr>
        <w:pStyle w:val="CaptionedFigure"/>
      </w:pPr>
      <w:r>
        <w:drawing>
          <wp:inline>
            <wp:extent cx="5334000" cy="5867400"/>
            <wp:effectExtent b="0" l="0" r="0" t="0"/>
            <wp:docPr descr="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 title="" id="84" name="Picture"/>
            <a:graphic>
              <a:graphicData uri="http://schemas.openxmlformats.org/drawingml/2006/picture">
                <pic:pic>
                  <pic:nvPicPr>
                    <pic:cNvPr descr="images/clipboard-3691456438.png" id="85" name="Picture"/>
                    <pic:cNvPicPr>
                      <a:picLocks noChangeArrowheads="1" noChangeAspect="1"/>
                    </pic:cNvPicPr>
                  </pic:nvPicPr>
                  <pic:blipFill>
                    <a:blip r:embed="rId83"/>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w:t>
      </w:r>
    </w:p>
    <w:bookmarkEnd w:id="86"/>
    <w:bookmarkStart w:id="90" w:name="Xd1b267cd9a333da69639a7176bc3e20bffaa48f"/>
    <w:p>
      <w:pPr>
        <w:pStyle w:val="Heading4"/>
      </w:pPr>
      <w:r>
        <w:t xml:space="preserve">Figure S8. Diagnostic plots for the generalized additive model (FDis).</w:t>
      </w:r>
    </w:p>
    <w:p>
      <w:pPr>
        <w:pStyle w:val="CaptionedFigure"/>
      </w:pPr>
      <w:r>
        <w:drawing>
          <wp:inline>
            <wp:extent cx="5334000" cy="5867400"/>
            <wp:effectExtent b="0" l="0" r="0" t="0"/>
            <wp:docPr descr="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 title="" id="88" name="Picture"/>
            <a:graphic>
              <a:graphicData uri="http://schemas.openxmlformats.org/drawingml/2006/picture">
                <pic:pic>
                  <pic:nvPicPr>
                    <pic:cNvPr descr="images/clipboard-1603446708.png" id="89" name="Picture"/>
                    <pic:cNvPicPr>
                      <a:picLocks noChangeArrowheads="1" noChangeAspect="1"/>
                    </pic:cNvPicPr>
                  </pic:nvPicPr>
                  <pic:blipFill>
                    <a:blip r:embed="rId87"/>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w:t>
      </w:r>
    </w:p>
    <w:bookmarkEnd w:id="90"/>
    <w:bookmarkStart w:id="94" w:name="X4f4d890c6453139f199c050e3ae258f8aeb704b"/>
    <w:p>
      <w:pPr>
        <w:pStyle w:val="Heading4"/>
      </w:pPr>
      <w:r>
        <w:t xml:space="preserve">Figure S9: Improvement in model fit after accounting for spatial structure.</w:t>
      </w:r>
    </w:p>
    <w:p>
      <w:pPr>
        <w:pStyle w:val="CaptionedFigure"/>
      </w:pPr>
      <w:r>
        <w:drawing>
          <wp:inline>
            <wp:extent cx="5334000" cy="2332317"/>
            <wp:effectExtent b="0" l="0" r="0" t="0"/>
            <wp:docPr descr="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 title="" id="92" name="Picture"/>
            <a:graphic>
              <a:graphicData uri="http://schemas.openxmlformats.org/drawingml/2006/picture">
                <pic:pic>
                  <pic:nvPicPr>
                    <pic:cNvPr descr="images/clipboard-1582410177.png" id="93" name="Picture"/>
                    <pic:cNvPicPr>
                      <a:picLocks noChangeArrowheads="1" noChangeAspect="1"/>
                    </pic:cNvPicPr>
                  </pic:nvPicPr>
                  <pic:blipFill>
                    <a:blip r:embed="rId91"/>
                    <a:stretch>
                      <a:fillRect/>
                    </a:stretch>
                  </pic:blipFill>
                  <pic:spPr bwMode="auto">
                    <a:xfrm>
                      <a:off x="0" y="0"/>
                      <a:ext cx="5334000" cy="2332317"/>
                    </a:xfrm>
                    <a:prstGeom prst="rect">
                      <a:avLst/>
                    </a:prstGeom>
                    <a:noFill/>
                    <a:ln w="9525">
                      <a:noFill/>
                      <a:headEnd/>
                      <a:tailEnd/>
                    </a:ln>
                  </pic:spPr>
                </pic:pic>
              </a:graphicData>
            </a:graphic>
          </wp:inline>
        </w:drawing>
      </w:r>
    </w:p>
    <w:p>
      <w:pPr>
        <w:pStyle w:val="ImageCaption"/>
      </w:pPr>
      <w:r>
        <w:t xml:space="preserve">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w:t>
      </w:r>
    </w:p>
    <w:bookmarkEnd w:id="94"/>
    <w:bookmarkEnd w:id="95"/>
    <w:bookmarkStart w:id="224" w:name="references"/>
    <w:p>
      <w:pPr>
        <w:pStyle w:val="Heading2"/>
      </w:pPr>
      <w:r>
        <w:t xml:space="preserve">REFERENCES</w:t>
      </w:r>
    </w:p>
    <w:bookmarkStart w:id="223" w:name="refs"/>
    <w:bookmarkStart w:id="9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6"/>
    <w:bookmarkStart w:id="9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7"/>
    <w:bookmarkStart w:id="9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8"/>
    <w:bookmarkStart w:id="9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9"/>
    <w:bookmarkStart w:id="10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0"/>
    <w:bookmarkStart w:id="10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1"/>
    <w:bookmarkStart w:id="10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2"/>
    <w:bookmarkStart w:id="103" w:name="ref-Banville2024"/>
    <w:p>
      <w:pPr>
        <w:pStyle w:val="Bibliography"/>
      </w:pPr>
      <w:r>
        <w:t xml:space="preserve">Banville, F., Blyth Strydom T., G., others, and T and Poisot. 2024.</w:t>
      </w:r>
      <w:r>
        <w:t xml:space="preserve"> </w:t>
      </w:r>
      <w:r>
        <w:t xml:space="preserve">“Deciphering Probabilistic Species Interaction Networks.”</w:t>
      </w:r>
    </w:p>
    <w:bookmarkEnd w:id="103"/>
    <w:bookmarkStart w:id="10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4"/>
    <w:bookmarkStart w:id="10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5"/>
    <w:bookmarkStart w:id="10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6"/>
    <w:bookmarkStart w:id="10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7"/>
    <w:bookmarkStart w:id="10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8"/>
    <w:bookmarkStart w:id="10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9"/>
    <w:bookmarkStart w:id="11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0"/>
    <w:bookmarkStart w:id="11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1"/>
    <w:bookmarkStart w:id="11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2"/>
    <w:bookmarkStart w:id="11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3"/>
    <w:bookmarkStart w:id="115"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4">
        <w:r>
          <w:rPr>
            <w:rStyle w:val="Hyperlink"/>
          </w:rPr>
          <w:t xml:space="preserve">https://doi.org/10.1038/sdata.2018.254</w:t>
        </w:r>
      </w:hyperlink>
      <w:r>
        <w:t xml:space="preserve">.</w:t>
      </w:r>
    </w:p>
    <w:bookmarkEnd w:id="115"/>
    <w:bookmarkStart w:id="117"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6">
        <w:r>
          <w:rPr>
            <w:rStyle w:val="Hyperlink"/>
          </w:rPr>
          <w:t xml:space="preserve">https://doi.org/10.1111/ele.13640</w:t>
        </w:r>
      </w:hyperlink>
      <w:r>
        <w:t xml:space="preserve">.</w:t>
      </w:r>
    </w:p>
    <w:bookmarkEnd w:id="117"/>
    <w:bookmarkStart w:id="118"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8"/>
    <w:bookmarkStart w:id="119"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9"/>
    <w:bookmarkStart w:id="120"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0"/>
    <w:bookmarkStart w:id="122"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1">
        <w:r>
          <w:rPr>
            <w:rStyle w:val="Hyperlink"/>
          </w:rPr>
          <w:t xml:space="preserve">https://doi.org/10.1111/geb.13667</w:t>
        </w:r>
      </w:hyperlink>
      <w:r>
        <w:t xml:space="preserve">.</w:t>
      </w:r>
    </w:p>
    <w:bookmarkEnd w:id="122"/>
    <w:bookmarkStart w:id="124"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3">
        <w:r>
          <w:rPr>
            <w:rStyle w:val="Hyperlink"/>
          </w:rPr>
          <w:t xml:space="preserve">https://doi.org/10.1098/rstb.2011.0058</w:t>
        </w:r>
      </w:hyperlink>
      <w:r>
        <w:t xml:space="preserve">.</w:t>
      </w:r>
    </w:p>
    <w:bookmarkEnd w:id="124"/>
    <w:bookmarkStart w:id="125"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5"/>
    <w:bookmarkStart w:id="127"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6">
        <w:r>
          <w:rPr>
            <w:rStyle w:val="Hyperlink"/>
          </w:rPr>
          <w:t xml:space="preserve">https://doi.org/10.1098/rspb.2015.2444</w:t>
        </w:r>
      </w:hyperlink>
      <w:r>
        <w:t xml:space="preserve">.</w:t>
      </w:r>
    </w:p>
    <w:bookmarkEnd w:id="127"/>
    <w:bookmarkStart w:id="128"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8"/>
    <w:bookmarkStart w:id="129"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9"/>
    <w:bookmarkStart w:id="130"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0"/>
    <w:bookmarkStart w:id="131"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1"/>
    <w:bookmarkStart w:id="132"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2"/>
    <w:bookmarkStart w:id="133"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3"/>
    <w:bookmarkStart w:id="135"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4">
        <w:r>
          <w:rPr>
            <w:rStyle w:val="Hyperlink"/>
          </w:rPr>
          <w:t xml:space="preserve">https://doi.org/10.1371/journal.pone.0128264</w:t>
        </w:r>
      </w:hyperlink>
      <w:r>
        <w:t xml:space="preserve">.</w:t>
      </w:r>
    </w:p>
    <w:bookmarkEnd w:id="135"/>
    <w:bookmarkStart w:id="136"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6"/>
    <w:bookmarkStart w:id="137"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7"/>
    <w:bookmarkStart w:id="138"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8"/>
    <w:bookmarkStart w:id="139"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9"/>
    <w:bookmarkStart w:id="140"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0"/>
    <w:bookmarkStart w:id="142"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1">
        <w:r>
          <w:rPr>
            <w:rStyle w:val="Hyperlink"/>
          </w:rPr>
          <w:t xml:space="preserve">https://doi.org/10.1111/1365-2664.14309</w:t>
        </w:r>
      </w:hyperlink>
      <w:r>
        <w:t xml:space="preserve">.</w:t>
      </w:r>
    </w:p>
    <w:bookmarkEnd w:id="142"/>
    <w:bookmarkStart w:id="144"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3">
        <w:r>
          <w:rPr>
            <w:rStyle w:val="Hyperlink"/>
          </w:rPr>
          <w:t xml:space="preserve">https://doi.org/10.1002/eap.2731</w:t>
        </w:r>
      </w:hyperlink>
      <w:r>
        <w:t xml:space="preserve">.</w:t>
      </w:r>
    </w:p>
    <w:bookmarkEnd w:id="144"/>
    <w:bookmarkStart w:id="145"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5"/>
    <w:bookmarkStart w:id="146"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6"/>
    <w:bookmarkStart w:id="147"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7"/>
    <w:bookmarkStart w:id="148"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8"/>
    <w:bookmarkStart w:id="149"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9"/>
    <w:bookmarkStart w:id="151"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0">
        <w:r>
          <w:rPr>
            <w:rStyle w:val="Hyperlink"/>
          </w:rPr>
          <w:t xml:space="preserve">https://doi.org/10.1126/science.1130880</w:t>
        </w:r>
      </w:hyperlink>
      <w:r>
        <w:t xml:space="preserve">.</w:t>
      </w:r>
    </w:p>
    <w:bookmarkEnd w:id="151"/>
    <w:bookmarkStart w:id="152"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2"/>
    <w:bookmarkStart w:id="154"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3">
        <w:r>
          <w:rPr>
            <w:rStyle w:val="Hyperlink"/>
          </w:rPr>
          <w:t xml:space="preserve">https://doi.org/10.1038/s41597-019-0174-2</w:t>
        </w:r>
      </w:hyperlink>
      <w:r>
        <w:t xml:space="preserve">.</w:t>
      </w:r>
    </w:p>
    <w:bookmarkEnd w:id="154"/>
    <w:bookmarkStart w:id="155"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5"/>
    <w:bookmarkStart w:id="156"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6"/>
    <w:bookmarkStart w:id="157"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7"/>
    <w:bookmarkStart w:id="158"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8"/>
    <w:bookmarkStart w:id="159"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59"/>
    <w:bookmarkStart w:id="160"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0"/>
    <w:bookmarkStart w:id="161"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1"/>
    <w:bookmarkStart w:id="162"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62"/>
    <w:bookmarkStart w:id="164"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3">
        <w:r>
          <w:rPr>
            <w:rStyle w:val="Hyperlink"/>
          </w:rPr>
          <w:t xml:space="preserve">https://doi.org/10.1111/geb.13436</w:t>
        </w:r>
      </w:hyperlink>
      <w:r>
        <w:t xml:space="preserve">.</w:t>
      </w:r>
    </w:p>
    <w:bookmarkEnd w:id="164"/>
    <w:bookmarkStart w:id="165"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5"/>
    <w:bookmarkStart w:id="166"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6"/>
    <w:bookmarkStart w:id="167"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7"/>
    <w:bookmarkStart w:id="168"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8"/>
    <w:bookmarkStart w:id="169"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69"/>
    <w:bookmarkStart w:id="170"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0"/>
    <w:bookmarkStart w:id="171"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1"/>
    <w:bookmarkStart w:id="172"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2"/>
    <w:bookmarkStart w:id="174"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3">
        <w:r>
          <w:rPr>
            <w:rStyle w:val="Hyperlink"/>
          </w:rPr>
          <w:t xml:space="preserve">https://doi.org/10.1038/s41467-019-12995-9</w:t>
        </w:r>
      </w:hyperlink>
      <w:r>
        <w:t xml:space="preserve">.</w:t>
      </w:r>
    </w:p>
    <w:bookmarkEnd w:id="174"/>
    <w:bookmarkStart w:id="175"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5"/>
    <w:bookmarkStart w:id="176"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6"/>
    <w:bookmarkStart w:id="177"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7"/>
    <w:bookmarkStart w:id="178"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8"/>
    <w:bookmarkStart w:id="179"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9"/>
    <w:bookmarkStart w:id="181"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0">
        <w:r>
          <w:rPr>
            <w:rStyle w:val="Hyperlink"/>
          </w:rPr>
          <w:t xml:space="preserve">https://doi.org/10.1111/gcb.16334</w:t>
        </w:r>
      </w:hyperlink>
      <w:r>
        <w:t xml:space="preserve">.</w:t>
      </w:r>
    </w:p>
    <w:bookmarkEnd w:id="181"/>
    <w:bookmarkStart w:id="183"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2">
        <w:r>
          <w:rPr>
            <w:rStyle w:val="Hyperlink"/>
          </w:rPr>
          <w:t xml:space="preserve">https://doi.org/10.1111/geb.12471</w:t>
        </w:r>
      </w:hyperlink>
      <w:r>
        <w:t xml:space="preserve">.</w:t>
      </w:r>
    </w:p>
    <w:bookmarkEnd w:id="183"/>
    <w:bookmarkStart w:id="184"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4"/>
    <w:bookmarkStart w:id="185"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5"/>
    <w:bookmarkStart w:id="186"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6"/>
    <w:bookmarkStart w:id="187"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7"/>
    <w:bookmarkStart w:id="189"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88">
        <w:r>
          <w:rPr>
            <w:rStyle w:val="Hyperlink"/>
          </w:rPr>
          <w:t xml:space="preserve">https://doi.org/10.1111/geb.13309</w:t>
        </w:r>
      </w:hyperlink>
      <w:r>
        <w:t xml:space="preserve">.</w:t>
      </w:r>
    </w:p>
    <w:bookmarkEnd w:id="189"/>
    <w:bookmarkStart w:id="190"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0"/>
    <w:bookmarkStart w:id="191"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1"/>
    <w:bookmarkStart w:id="193"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2">
        <w:r>
          <w:rPr>
            <w:rStyle w:val="Hyperlink"/>
          </w:rPr>
          <w:t xml:space="preserve">https://doi.org/10.1126/science.235.4785.167</w:t>
        </w:r>
      </w:hyperlink>
      <w:r>
        <w:t xml:space="preserve">.</w:t>
      </w:r>
    </w:p>
    <w:bookmarkEnd w:id="193"/>
    <w:bookmarkStart w:id="194"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4"/>
    <w:bookmarkStart w:id="196"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5">
        <w:r>
          <w:rPr>
            <w:rStyle w:val="Hyperlink"/>
          </w:rPr>
          <w:t xml:space="preserve">https://doi.org/10.1073/pnas.1910489116</w:t>
        </w:r>
      </w:hyperlink>
      <w:r>
        <w:t xml:space="preserve">.</w:t>
      </w:r>
    </w:p>
    <w:bookmarkEnd w:id="196"/>
    <w:bookmarkStart w:id="197"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7"/>
    <w:bookmarkStart w:id="198"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8"/>
    <w:bookmarkStart w:id="199"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9"/>
    <w:bookmarkStart w:id="201"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0">
        <w:r>
          <w:rPr>
            <w:rStyle w:val="Hyperlink"/>
          </w:rPr>
          <w:t xml:space="preserve">https://doi.org/10.1111/ecog.02118</w:t>
        </w:r>
      </w:hyperlink>
      <w:r>
        <w:t xml:space="preserve">.</w:t>
      </w:r>
    </w:p>
    <w:bookmarkEnd w:id="201"/>
    <w:bookmarkStart w:id="202"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2"/>
    <w:bookmarkStart w:id="203"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3"/>
    <w:bookmarkStart w:id="204"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4"/>
    <w:bookmarkStart w:id="206"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6"/>
    <w:bookmarkStart w:id="207"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7"/>
    <w:bookmarkStart w:id="208"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08"/>
    <w:bookmarkStart w:id="209"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09"/>
    <w:bookmarkStart w:id="211"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0">
        <w:r>
          <w:rPr>
            <w:rStyle w:val="Hyperlink"/>
          </w:rPr>
          <w:t xml:space="preserve">https://doi.org/10.1016/j.biocon.2018.05.022</w:t>
        </w:r>
      </w:hyperlink>
      <w:r>
        <w:t xml:space="preserve">.</w:t>
      </w:r>
    </w:p>
    <w:bookmarkEnd w:id="211"/>
    <w:bookmarkStart w:id="212"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2"/>
    <w:bookmarkStart w:id="213"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3"/>
    <w:bookmarkStart w:id="214"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4"/>
    <w:bookmarkStart w:id="216"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5">
        <w:r>
          <w:rPr>
            <w:rStyle w:val="Hyperlink"/>
          </w:rPr>
          <w:t xml:space="preserve">https://doi.org/10.1016/j.tree.2004.09.011</w:t>
        </w:r>
      </w:hyperlink>
      <w:r>
        <w:t xml:space="preserve">.</w:t>
      </w:r>
    </w:p>
    <w:bookmarkEnd w:id="216"/>
    <w:bookmarkStart w:id="218"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17">
        <w:r>
          <w:rPr>
            <w:rStyle w:val="Hyperlink"/>
          </w:rPr>
          <w:t xml:space="preserve">https://doi.org/10.1890/13-1917.1</w:t>
        </w:r>
      </w:hyperlink>
      <w:r>
        <w:t xml:space="preserve">.</w:t>
      </w:r>
    </w:p>
    <w:bookmarkEnd w:id="218"/>
    <w:bookmarkStart w:id="220"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19">
        <w:r>
          <w:rPr>
            <w:rStyle w:val="Hyperlink"/>
          </w:rPr>
          <w:t xml:space="preserve">https://doi.org/10.1201/9781315370279</w:t>
        </w:r>
      </w:hyperlink>
      <w:r>
        <w:t xml:space="preserve">.</w:t>
      </w:r>
    </w:p>
    <w:bookmarkEnd w:id="220"/>
    <w:bookmarkStart w:id="221"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1"/>
    <w:bookmarkStart w:id="222"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2"/>
    <w:bookmarkEnd w:id="223"/>
    <w:bookmarkEnd w:id="224"/>
    <w:bookmarkStart w:id="226" w:name="revision-history"/>
    <w:p>
      <w:pPr>
        <w:pStyle w:val="Heading2"/>
      </w:pPr>
      <w:r>
        <w:t xml:space="preserve">REVISION HISTORY</w:t>
      </w:r>
    </w:p>
    <w:bookmarkStart w:id="225" w:name="Xadfb725e20d9bc4782eec412c1a9225179cfcfc"/>
    <w:p>
      <w:pPr>
        <w:pStyle w:val="Heading4"/>
      </w:pPr>
      <w:r>
        <w:t xml:space="preserve">Ecological Monographs (25-26) - Editorial Rejection</w:t>
      </w:r>
    </w:p>
    <w:p>
      <w:pPr>
        <w:pStyle w:val="BlockText"/>
      </w:pPr>
      <w:r>
        <w:t xml:space="preserve">FTA definition: FTA is central to your article, but there are inconsistencies in how it is defined. At L108–109 you define FTA as the difference in the richness of interaction-relevant traits between trophic levels. However, in the Methods (L189–191) you include both interaction-relevant traits and traits related to physiological tolerance to the abiotic environment. In the Discussion (L481), you again refer only to traits relevant to trophic interactions. This creates confusion. If FTA is meant to be based solely on interaction-relevant traits, then the trait set should be restricted accordingly. If environmental-tolerance traits are intentionally included, the definition of FTA should be revised to reflect this broader scope. In either case, please clarify and justify the trait selection.</w:t>
      </w:r>
    </w:p>
    <w:p>
      <w:pPr>
        <w:pStyle w:val="FirstParagraph"/>
      </w:pPr>
      <w:r>
        <w:t xml:space="preserve">We have revised the definition of functional trophic asymmetry throughout the manuscript to clarify that FTA is quantified from the standardized functional diversity of trophic assemblages based on traits that collectively capture both species’ interaction niches and their responses to the abiotic environment. We also added a brief justification of trait selection in the Methods and ensured consistent terminology in the Introduction, Methods, and Discussion.</w:t>
      </w:r>
    </w:p>
    <w:p>
      <w:pPr>
        <w:pStyle w:val="BlockText"/>
      </w:pPr>
      <w:r>
        <w:t xml:space="preserve">Briefly describe the dietary categories in brackets for clarity.</w:t>
      </w:r>
    </w:p>
    <w:p>
      <w:pPr>
        <w:pStyle w:val="FirstParagraph"/>
      </w:pPr>
      <w:r>
        <w:t xml:space="preserve">Dietary categories are described in brackets</w:t>
      </w:r>
    </w:p>
    <w:p>
      <w:pPr>
        <w:pStyle w:val="BlockText"/>
      </w:pPr>
      <w:r>
        <w:t xml:space="preserve">It would be valuable to test the predictions of your downscaling approach by comparing the metaweb-derived networks with some available local networks to evaluate how well the downscaled structure matches empirical data. If validation is not feasible, please acknowledge this limitation in the Discussion—one or two sentences would be sufficient.</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“This normalization ensures that our measure reflects trait diversity rather than simply species richness.”</w:t>
      </w:r>
      <w:r>
        <w:t xml:space="preserve"> </w:t>
      </w:r>
      <w:r>
        <w:t xml:space="preserve">I struggle to understand this normalization step. You state that dividing by species richness (i.e., using proportions of species per guild) removes the effect of species richness, but it is unclear how this operation actually isolates functional richness. Could you clarify this?</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“We assigned a value of FR = 0 to those guilds with no palm or mammal species present.”</w:t>
      </w:r>
      <w:r>
        <w:t xml:space="preserve"> </w:t>
      </w:r>
      <w:r>
        <w:t xml:space="preserve">What is the purpose of including these zeros?</w:t>
      </w:r>
    </w:p>
    <w:p>
      <w:pPr>
        <w:pStyle w:val="FirstParagraph"/>
      </w:pPr>
      <w:r>
        <w:t xml:space="preserve">The interaction-guild framework has been removed from the manuscript. In the revised version, functional richness and functional dispersion are calculated directly from the producer and consumer trait spaces rather than from latent interaction guilds. As a result, this point is no longer directly applicable to the scope of the present study.</w:t>
      </w:r>
    </w:p>
    <w:p>
      <w:pPr>
        <w:pStyle w:val="BlockText"/>
      </w:pPr>
      <w:r>
        <w:t xml:space="preserve">FTA is calculated as an absolute difference. Would it make sense to also consider a directional difference? Biologically, having higher functional diversity in consumers than in producers is not equivalent to the opposite case, so the sign may carry meaningful information.</w:t>
      </w:r>
    </w:p>
    <w:p>
      <w:pPr>
        <w:pStyle w:val="FirstParagraph"/>
      </w:pPr>
      <w:r>
        <w:t xml:space="preserve">We agree that the direction of the difference carries important biological information. Accordingly, we revised the definition of functional trophic asymmetry (FTA) to use a signed difference rather than an absolute difference, allowing us to distinguish cases where functional diversity is greater in mammal assemblages from those where it is greater in palm assemblages. We updated the definition, equations, conceptual figure, and all corresponding interpretations throughout the manuscript to reflect this change. In addition, we included a complementary analysis in the Supplementary Material (Figure S-11) showing how FTA can be interpreted jointly with the mean standardized effect size across trophic levels, allowing the direction and magnitude of asymmetry to be distinguished from changes in the overall level of functional diversity.</w:t>
      </w:r>
    </w:p>
    <w:p>
      <w:pPr>
        <w:pStyle w:val="BlockText"/>
      </w:pPr>
      <w:r>
        <w:t xml:space="preserve">GAM models (L357–361, 371–376): More detail is needed. Which function and package did you use (e.g., mgcv::gam)? Which family and link function? Did you use tensor interactions? Which diagnostic checks did you run (e.g., gam.check, k.check, gratia, residual diagnostics)?</w:t>
      </w:r>
    </w:p>
    <w:p>
      <w:pPr>
        <w:pStyle w:val="FirstParagraph"/>
      </w:pPr>
      <w:r>
        <w:t xml:space="preserve">We expanded the Methods to provide additional details on the GAM implementation, including the function and package used</w:t>
      </w:r>
      <w:r>
        <w:t xml:space="preserve"> </w:t>
      </w:r>
      <w:r>
        <w:rPr>
          <w:rStyle w:val="VerbatimChar"/>
        </w:rPr>
        <w:t xml:space="preserve">(mgcv::gam)</w:t>
      </w:r>
      <w:r>
        <w:t xml:space="preserve">, the error distribution and link function, the specification of the smooth terms, and the absence of tensor-product interactions. We also clarified the diagnostic procedures used to evaluate model adequacy, including</w:t>
      </w:r>
      <w:r>
        <w:t xml:space="preserve"> </w:t>
      </w:r>
      <w:r>
        <w:rPr>
          <w:rStyle w:val="VerbatimChar"/>
        </w:rPr>
        <w:t xml:space="preserve">gam.check()</w:t>
      </w:r>
      <w:r>
        <w:t xml:space="preserve"> </w:t>
      </w:r>
      <w:r>
        <w:t xml:space="preserve">and visual inspection of residual diagnostics.</w:t>
      </w:r>
    </w:p>
    <w:p>
      <w:pPr>
        <w:pStyle w:val="BlockText"/>
      </w:pPr>
      <w:r>
        <w:t xml:space="preserve">(Table S1): The reported R² values are essentially zero, and some appear negative—please verify this. With such low explanatory power, the interpretability of predictor effects is unclear; significant p-values may simply reflect the large sample size. Also, estimates are reported for abiotic variables but not for guilds—only p-values are shown. Please revise.</w:t>
      </w:r>
    </w:p>
    <w:p>
      <w:pPr>
        <w:pStyle w:val="FirstParagraph"/>
      </w:pPr>
      <w:r>
        <w:t xml:space="preserve">Rather than analysing 1° grid cells (as the previous version), all functional diversity metrics are now calculated at the level of biogeographic provinces, which represent the ecological units of inference in this study. This resulted in substantially improved model performance, with higher explained variance and clearer relationships between climatic predictors and functional diversity. Accordingly, the previous concerns regarding near-zero R² values and the interpretation of significant effects due to large sample size are no longer applicable. In addition, the previous interaction-guild framework has been removed from the manuscript, and Tables have been revised to reflect the new analytical approach and model outputs.</w:t>
      </w:r>
    </w:p>
    <w:p>
      <w:pPr>
        <w:pStyle w:val="BlockText"/>
      </w:pPr>
      <w:r>
        <w:t xml:space="preserve">Decimals and reporting consistency: Please check for consistency in decimal places throughout the manuscript. It would be better to use a fixed number (e.g., two or three) and report very small p-values as p &lt; 0.001. The manuscript currently mixes formats (e.g., four decimals at L429, three at L422, two at L453). In L460 and L477 you report p &gt; x; please report the actual p-values instead.</w:t>
      </w:r>
    </w:p>
    <w:p>
      <w:pPr>
        <w:pStyle w:val="FirstParagraph"/>
      </w:pPr>
      <w:r>
        <w:t xml:space="preserve">We have carefully revised the manuscript to standardize the reporting of numerical values throughout. Decimal places are now reported consistently, very small p-values are presented as p &lt; 0.001, and exact p-values are reported where appropriate instead of expressions such as p &gt; x.</w:t>
      </w:r>
    </w:p>
    <w:p>
      <w:pPr>
        <w:pStyle w:val="BlockText"/>
      </w:pPr>
      <w:r>
        <w:t xml:space="preserve">Figures: The figures are informative, but please consider using a colour-blind–safe palette to distinguish producers and consumers. The current colours are difficult to differentiate for colour-blind readers.</w:t>
      </w:r>
    </w:p>
    <w:p>
      <w:pPr>
        <w:pStyle w:val="BlockText"/>
      </w:pPr>
      <w:r>
        <w:t xml:space="preserve">Figure 1 (L603–606): I would remove this section. The caption contains more information than necessary, and streamlining would save words without reducing clarity.A similar level of streamlining across all figure captions would benefit the manuscript. I recommend keeping only the minimum information needed to understand each figure and moving the remaining details to the main text.</w:t>
      </w:r>
    </w:p>
    <w:p>
      <w:pPr>
        <w:pStyle w:val="FirstParagraph"/>
      </w:pPr>
      <w:r>
        <w:t xml:space="preserve">We have updated the main figures to use a colorblind-friendly blue–orange–gray palette and distinct point shapes for palms, mammals, and FTA</w:t>
      </w:r>
    </w:p>
    <w:p>
      <w:pPr>
        <w:pStyle w:val="BlockText"/>
      </w:pPr>
      <w:r>
        <w:t xml:space="preserve">First of all, I disagree with the central premise of the paper, that trait-based approaches considering multiple trophic levels remain rare in the ecological literature. I may be biased, but I believe the research in mutualistic network ecology has been closely associated with the advancements put forward in the past decades in trait-based and functional approaches, particularly those aimed at predicting species interactions from trait linkage rules. Over the past decades, a substantial body of literature has examined how communities of interacting species assemble and disassemble as a function of species traits. This literature appears to be largely undermined here. That said, I do agree that, that</w:t>
      </w:r>
      <w:r>
        <w:t xml:space="preserve"> </w:t>
      </w:r>
      <w:r>
        <w:t xml:space="preserve">“horizontal”</w:t>
      </w:r>
      <w:r>
        <w:t xml:space="preserve"> </w:t>
      </w:r>
      <w:r>
        <w:t xml:space="preserve">diversity studies, are way more common than</w:t>
      </w:r>
      <w:r>
        <w:t xml:space="preserve"> </w:t>
      </w:r>
      <w:r>
        <w:t xml:space="preserve">“multitrophic”</w:t>
      </w:r>
      <w:r>
        <w:t xml:space="preserve"> </w:t>
      </w:r>
      <w:r>
        <w:t xml:space="preserve">diversity. But to say that they are rare, seems to be an exaggeration. And then again, all the work on horizontal functional diversity is, at least implicitly, grounded in the assumption that competition is the structurally dominant ecological interaction underlying community assembly. Moreover, functional symmetry is at least an implicit assumption in many trait-based models, and there has been some recent studies that have explicitly examined asymmetry in how traits and trophic links are organized and function in ecological networks (Zheng, et al. </w:t>
      </w:r>
      <w:r>
        <w:t xml:space="preserve">“Asymmetric foraging lowers the trophic level and omnivory in natural food webs.”</w:t>
      </w:r>
      <w:r>
        <w:t xml:space="preserve"> </w:t>
      </w:r>
      <w:r>
        <w:t xml:space="preserve">Journal of Animal Ecology 90.6 (2021): 1444-1454.; Borzone et al. </w:t>
      </w:r>
      <w:r>
        <w:t xml:space="preserve">“Symmetries and asymmetries in the topological roles of piscivorous fishes between occurrence networks and food webs.”</w:t>
      </w:r>
      <w:r>
        <w:t xml:space="preserve"> </w:t>
      </w:r>
      <w:r>
        <w:t xml:space="preserve">Journal of Animal Ecology 91.10 2022: 2061-2073; Hidas, A., &amp; Jordán, F. 2025. Causal links indicating ecosystem functioning in food webs. Community Ecology, 26(3), 725-730).</w:t>
      </w:r>
    </w:p>
    <w:p>
      <w:pPr>
        <w:pStyle w:val="FirstParagraph"/>
      </w:pPr>
      <w:r>
        <w:t xml:space="preserve">In the revised Introduction, we no longer state that multitrophic trait-based approaches are rare. Instead, we explicitly acknowledge the extensive literature demonstrating how trait matching shapes species interactions and ecological network assembly across trophic levels. We clarify that the current knowledge gap is not the application of traits to multitrophic systems per se, but rather the limited understanding of how community assembly processes jointly shape functional diversity within and between trophic levels across broad spatial scales. We also expanded the Introduction to recognize recent work (including provided references) on asymmetry in ecological networks and better position functional trophic asymmetry within this existing body of research.</w:t>
      </w:r>
    </w:p>
    <w:p>
      <w:pPr>
        <w:pStyle w:val="BlockText"/>
      </w:pPr>
      <w:r>
        <w:t xml:space="preserve">The methods proposed by the authors do not appear to make a direct link to actual species traits. Ultimately, the approach seems to detect differences among trophic guilds without explicitly incorporating measured species traits, as the authors show that the stochastic block model better fits the data, in comparison to the trait based models tested by the authors. This contrasts with much of the functional diversity literature cited to justify the work. A stochastic block models are defined purely by structural equivalence, it is not immediately clear whether the inferred groups correspond to distinct combinations of species traits or whether they reflect latent interaction structure unrelated to the measured traits, as the authors explicitly claim and use to infer their functional richness (for instance L 313-318). The authors also claim that their Functional Trophic Asymmetry framework could help to estimate the strength of environmental selection and trait matching. However, the manuscript does not provide evidence demonstrating that the framework can reliably recover these underlying processes. I tend to remain skeptical of new analytical frameworks that are not accompanied by a thorough assessment of their behavior, as I believe ecology currently faces an overabundance of analytical tools that are insufficiently validated.</w:t>
      </w:r>
    </w:p>
    <w:p>
      <w:pPr>
        <w:pStyle w:val="FirstParagraph"/>
      </w:pPr>
      <w:r>
        <w:t xml:space="preserve">In the revised manuscript, we substantially revised the analytical framework and removed the stochastic block model and latent interaction-guild approach. Functional richness, functional dispersion, and functional trophic asymmetry are now calculated directly from measured species traits using multidimensional trait spaces for palms and mammals. We also revised the conceptual framing of FTA to clarify that it is a descriptive metric of asymmetries in trophic functional organization rather than a direct estimator of environmental filtering or trait matching. Throughout the manuscript, we now interpret FTA as an indicator of differential responses across trophic levels, while recognizing that the underlying ecological processes require independent testing. Our implementation of FTA relies on a simple richness-constrained null model designed to provide an interpretable baseline for standardized functional diversity.</w:t>
      </w:r>
    </w:p>
    <w:p>
      <w:pPr>
        <w:pStyle w:val="BlockText"/>
      </w:pPr>
      <w:r>
        <w:t xml:space="preserve">Finally, the manuscript relies on a large dataset and a complex modeling pipeline to estimate species interactions and Functional Trophic Asymmetry, which seems to be the main point of the manuscript (but see my initial concern). If introducing the FTA is the main goal of the paper, rather than the ecological association between climate and palm-mammal networks in the Neotropics, I think that this level of complexity might be obscuring this main conceptual advance. The authors compiled metawebs and downscale them to local networks using a series of models and analytical steps to detect interactions, but this complex analytical machinery may distract from the core contribution. Thus, as a suggestion, I would say that if the primary goal is to introduce and justify this new conceptual framework (considering my previous ocmments), it might be more effective to introduce it using well-sampled empirical local networks or even a controlled</w:t>
      </w:r>
      <w:r>
        <w:t xml:space="preserve"> </w:t>
      </w:r>
      <w:r>
        <w:t xml:space="preserve">“toy”</w:t>
      </w:r>
      <w:r>
        <w:t xml:space="preserve"> </w:t>
      </w:r>
      <w:r>
        <w:t xml:space="preserve">dataset. Figure 1: In Pij is it suppose to be a Hadamard (element-wise) product, or a standard matrix multiplication? If it is a Hadamard product, the appropriate symbol (⊙) should be used.</w:t>
      </w:r>
    </w:p>
    <w:p>
      <w:pPr>
        <w:pStyle w:val="FirstParagraph"/>
      </w:pPr>
      <w:r>
        <w:t xml:space="preserve">In the revised manuscript, we substantially simplified the analytical framework by removing the interaction downscaling component and focusing directly on the development and application of Functional Trophic Asymmetry (FTA) using trait-based functional diversity. Functional richness, functional dispersion, and FTA are now calculated directly from measured species traits rather than inferred interaction networks. This revision considerably reduces the methodological complexity and better aligns the analyses with the primary conceptual contribution of the manuscript</w:t>
      </w:r>
    </w:p>
    <w:bookmarkEnd w:id="225"/>
    <w:bookmarkEnd w:id="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91" Target="media/rId91.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71" Target="media/rId71.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2026-09-07T15:54:27Z</dcterms:created>
  <dcterms:modified xsi:type="dcterms:W3CDTF">2026-09-07T15:54:27Z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2026-09-07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