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0.png" ContentType="image/png"/>
  <Override PartName="/word/media/rId87.png" ContentType="image/png"/>
  <Override PartName="/word/media/rId59.png" ContentType="image/png"/>
  <Override PartName="/word/media/rId67.png" ContentType="image/png"/>
  <Override PartName="/word/media/rId45.png" ContentType="image/png"/>
  <Override PartName="/word/media/rId75.png" ContentType="image/png"/>
  <Override PartName="/word/media/rId79.png" ContentType="image/png"/>
  <Override PartName="/word/media/rId28.png" ContentType="image/png"/>
  <Override PartName="/word/media/rId35.png" ContentType="image/png"/>
  <Override PartName="/word/media/rId83.png" ContentType="image/png"/>
  <Override PartName="/word/media/rId91.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2026-09-12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dynamics, such as repeated glacial-interglacial climatic fluctuations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 [</w:t>
      </w:r>
      <w:r>
        <w:t xml:space="preserve">McCain and King (2014)</w:t>
      </w:r>
      <w:r>
        <w:t xml:space="preserve">;</w:t>
      </w:r>
      <w:r>
        <w:t xml:space="preserve"> </w:t>
      </w:r>
      <w:r>
        <w:t xml:space="preserve">Moretti and Legg (2009)</w:t>
      </w:r>
      <w:r>
        <w:t xml:space="preserve">;</w:t>
      </w:r>
      <w:r>
        <w:t xml:space="preserve"> </w:t>
      </w:r>
      <w:r>
        <w:t xml:space="preserve">(</w:t>
      </w:r>
      <w:r>
        <w:rPr>
          <w:b/>
          <w:bCs/>
        </w:rPr>
        <w:t xml:space="preserve">Kissl?</w:t>
      </w:r>
      <w:r>
        <w:t xml:space="preserve">)</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92735"/>
                  <wp:effectExtent b="0" l="0" r="0" t="0"/>
                  <wp:docPr descr="" title="" id="21" name="Picture"/>
                  <a:graphic>
                    <a:graphicData uri="http://schemas.openxmlformats.org/drawingml/2006/picture">
                      <pic:pic>
                        <pic:nvPicPr>
                          <pic:cNvPr descr="images/clipboard-1021119434.png" id="22" name="Picture"/>
                          <pic:cNvPicPr>
                            <a:picLocks noChangeArrowheads="1" noChangeAspect="1"/>
                          </pic:cNvPicPr>
                        </pic:nvPicPr>
                        <pic:blipFill>
                          <a:blip r:embed="rId20"/>
                          <a:stretch>
                            <a:fillRect/>
                          </a:stretch>
                        </pic:blipFill>
                        <pic:spPr bwMode="auto">
                          <a:xfrm>
                            <a:off x="0" y="0"/>
                            <a:ext cx="5334000" cy="35927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contemporary climate and the magnitude of past climate change across Neotropical biogeographic provinces. The contemporary climatic baseline was derived from the Climatologies at High Resolution for the Earth’s Land Surface Areas (CHELSA) dataset</w:t>
      </w:r>
      <w:r>
        <w:t xml:space="preserve"> </w:t>
      </w:r>
      <w:r>
        <w:t xml:space="preserve">(Karger et al. 2017)</w:t>
      </w:r>
      <w:r>
        <w:t xml:space="preserve">. For each bioclimatic variable, we calculated climatic anomalies as past minus contemporary conditions for the late Holocene (lh; 4.2–0.3 ka) and the Last Glacial Maximum (LGM; ~21 ka). These anomalies describe the direction and magnitude of climatic differences relative to the contemporary baseline. The LGM–present anomaly captures a major glacial-to-interglacial climatic transition and can therefore can approximate the climatic fluctuations that characterized much of the Quaternary, whereas the Late Holocene–present anomaly aproximates recent climatic variation within the current interglacial (</w:t>
      </w:r>
      <w:hyperlink w:anchor="fig-02">
        <w:r>
          <w:rPr>
            <w:rStyle w:val="Hyperlink"/>
          </w:rPr>
          <w:t xml:space="preserve">Figure 2</w:t>
        </w:r>
      </w:hyperlink>
      <w:r>
        <w:t xml:space="preserve">; Figure S1). Because the signs of PCA axes are arbitrary, PC1 and PC2 were oriented consistently among analyses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we fitted a Generalized Additive Model (GAM) containing penalized thin-plate regression splines for the first two axes of contemporary climate, Late Holocene–present climatic anomalies, and LGM–present climatic anomalies:</w:t>
      </w:r>
    </w:p>
    <w:p>
      <w:pPr>
        <w:pStyle w:val="BodyText"/>
      </w:pPr>
      <m:oMath>
        <m:r>
          <m:t>Y</m:t>
        </m:r>
        <m:r>
          <m:rPr>
            <m:sty m:val="p"/>
          </m:rPr>
          <m:t>=</m:t>
        </m:r>
        <m:r>
          <m:t>s</m:t>
        </m:r>
        <m:d>
          <m:dPr>
            <m:begChr m:val="("/>
            <m:endChr m:val=")"/>
            <m:sepChr m:val=""/>
            <m:grow/>
          </m:dPr>
          <m:e>
            <m:r>
              <m:t>P</m:t>
            </m:r>
            <m:r>
              <m:t>C</m:t>
            </m:r>
            <m:sSub>
              <m:e>
                <m:r>
                  <m:t>1</m:t>
                </m:r>
              </m:e>
              <m:sub>
                <m:r>
                  <m:t>c</m:t>
                </m:r>
                <m:r>
                  <m:t>u</m:t>
                </m:r>
                <m:r>
                  <m:t>r</m:t>
                </m:r>
              </m:sub>
            </m:sSub>
          </m:e>
        </m:d>
        <m:r>
          <m:rPr>
            <m:sty m:val="p"/>
          </m:rPr>
          <m:t>+</m:t>
        </m:r>
        <m:r>
          <m:t>s</m:t>
        </m:r>
        <m:d>
          <m:dPr>
            <m:begChr m:val="("/>
            <m:endChr m:val=")"/>
            <m:sepChr m:val=""/>
            <m:grow/>
          </m:dPr>
          <m:e>
            <m:r>
              <m:t>P</m:t>
            </m:r>
            <m:r>
              <m:t>C</m:t>
            </m:r>
            <m:sSub>
              <m:e>
                <m:r>
                  <m:t>2</m:t>
                </m:r>
              </m:e>
              <m:sub>
                <m:r>
                  <m:t>c</m:t>
                </m:r>
                <m:r>
                  <m:t>u</m:t>
                </m:r>
                <m:r>
                  <m:t>r</m:t>
                </m:r>
              </m:sub>
            </m:sSub>
          </m:e>
        </m:d>
        <m:r>
          <m:rPr>
            <m:sty m:val="p"/>
          </m:rPr>
          <m:t>+</m:t>
        </m:r>
        <m:r>
          <m:t>s</m:t>
        </m:r>
        <m:d>
          <m:dPr>
            <m:begChr m:val="("/>
            <m:endChr m:val=")"/>
            <m:sepChr m:val=""/>
            <m:grow/>
          </m:dPr>
          <m:e>
            <m:r>
              <m:t>P</m:t>
            </m:r>
            <m:r>
              <m:t>C</m:t>
            </m:r>
            <m:sSub>
              <m:e>
                <m:r>
                  <m:t>1</m:t>
                </m:r>
              </m:e>
              <m:sub>
                <m:r>
                  <m:t>l</m:t>
                </m:r>
                <m:r>
                  <m:t>h</m:t>
                </m:r>
                <m:r>
                  <m:rPr>
                    <m:sty m:val="p"/>
                  </m:rPr>
                  <m:t>−</m:t>
                </m:r>
                <m:r>
                  <m:t>a</m:t>
                </m:r>
              </m:sub>
            </m:sSub>
          </m:e>
        </m:d>
        <m:r>
          <m:rPr>
            <m:sty m:val="p"/>
          </m:rPr>
          <m:t>+</m:t>
        </m:r>
        <m:r>
          <m:t>s</m:t>
        </m:r>
        <m:d>
          <m:dPr>
            <m:begChr m:val="("/>
            <m:endChr m:val=")"/>
            <m:sepChr m:val=""/>
            <m:grow/>
          </m:dPr>
          <m:e>
            <m:r>
              <m:t>P</m:t>
            </m:r>
            <m:r>
              <m:t>C</m:t>
            </m:r>
            <m:sSub>
              <m:e>
                <m:r>
                  <m:t>2</m:t>
                </m:r>
              </m:e>
              <m:sub>
                <m:r>
                  <m:t>l</m:t>
                </m:r>
                <m:r>
                  <m:t>h</m:t>
                </m:r>
                <m:r>
                  <m:rPr>
                    <m:sty m:val="p"/>
                  </m:rPr>
                  <m:t>−</m:t>
                </m:r>
                <m:r>
                  <m:t>a</m:t>
                </m:r>
              </m:sub>
            </m:sSub>
          </m:e>
        </m:d>
        <m:r>
          <m:rPr>
            <m:sty m:val="p"/>
          </m:rPr>
          <m:t>+</m:t>
        </m:r>
        <m:r>
          <m:t>s</m:t>
        </m:r>
        <m:d>
          <m:dPr>
            <m:begChr m:val="("/>
            <m:endChr m:val=")"/>
            <m:sepChr m:val=""/>
            <m:grow/>
          </m:dPr>
          <m:e>
            <m:r>
              <m:t>P</m:t>
            </m:r>
            <m:r>
              <m:t>C</m:t>
            </m:r>
            <m:sSub>
              <m:e>
                <m:r>
                  <m:t>1</m:t>
                </m:r>
              </m:e>
              <m:sub>
                <m:r>
                  <m:t>l</m:t>
                </m:r>
                <m:r>
                  <m:t>g</m:t>
                </m:r>
                <m:r>
                  <m:t>m</m:t>
                </m:r>
                <m:r>
                  <m:rPr>
                    <m:sty m:val="p"/>
                  </m:rPr>
                  <m:t>−</m:t>
                </m:r>
                <m:r>
                  <m:t>a</m:t>
                </m:r>
              </m:sub>
            </m:sSub>
          </m:e>
        </m:d>
        <m:r>
          <m:rPr>
            <m:sty m:val="p"/>
          </m:rPr>
          <m:t>+</m:t>
        </m:r>
        <m:r>
          <m:t>s</m:t>
        </m:r>
        <m:d>
          <m:dPr>
            <m:begChr m:val="("/>
            <m:endChr m:val=")"/>
            <m:sepChr m:val=""/>
            <m:grow/>
          </m:dPr>
          <m:e>
            <m:r>
              <m:t>P</m:t>
            </m:r>
            <m:r>
              <m:t>C</m:t>
            </m:r>
            <m:sSub>
              <m:e>
                <m:r>
                  <m:t>2</m:t>
                </m:r>
              </m:e>
              <m:sub>
                <m:r>
                  <m:t>l</m:t>
                </m:r>
                <m:r>
                  <m:t>g</m:t>
                </m:r>
                <m:r>
                  <m:t>m</m:t>
                </m:r>
                <m:r>
                  <m:rPr>
                    <m:sty m:val="p"/>
                  </m:rPr>
                  <m:t>−</m:t>
                </m:r>
                <m:r>
                  <m:t>a</m:t>
                </m:r>
              </m:sub>
            </m:sSub>
          </m:e>
        </m:d>
      </m:oMath>
    </w:p>
    <w:p>
      <w:pPr>
        <w:pStyle w:val="BodyText"/>
      </w:pPr>
      <w:r>
        <w:t xml:space="preserve">where</w:t>
      </w:r>
      <w:r>
        <w:t xml:space="preserve"> </w:t>
      </w:r>
      <m:oMath>
        <m:r>
          <m:t>Y</m:t>
        </m:r>
      </m:oMath>
      <w:r>
        <w:t xml:space="preserve"> </w:t>
      </w:r>
      <w:r>
        <w:t xml:space="preserve">represents palm or mammal functional richness (FRic), functional dispersion (FDis), or their corresponding functional trophic asymmetry (FTA). Models were fitted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Climatic smooths were assigned a conservative basis dimension of</w:t>
      </w:r>
      <w:r>
        <w:t xml:space="preserve"> </w:t>
      </w:r>
      <m:oMath>
        <m:r>
          <m:t>k</m:t>
        </m:r>
        <m:r>
          <m:rPr>
            <m:sty m:val="p"/>
          </m:rPr>
          <m:t>=</m:t>
        </m:r>
        <m:r>
          <m:t>4</m:t>
        </m:r>
      </m:oMath>
      <w:r>
        <w:t xml:space="preserve">, and models were estimated by restricted maximum likelihood with shrinkage selection</w:t>
      </w:r>
      <w:r>
        <w:t xml:space="preserve"> </w:t>
      </w:r>
      <w:r>
        <w:t xml:space="preserve">(Wood and N 2017)</w:t>
      </w:r>
      <w:r>
        <w:t xml:space="preserve">. Tensor-product interactions among climatic predictors were not included. To evaluate whether climatic associations persisted after accounting for broad-scale spatial structure, we fitted spatial sensitivity models with the same climatic predictors plus a two-dimensional smooth of province-centroid longitude and latitude,</w:t>
      </w:r>
      <w:r>
        <w:t xml:space="preserve"> </w:t>
      </w:r>
      <m:oMath>
        <m:r>
          <m:rPr>
            <m:sty m:val="p"/>
          </m:rPr>
          <m:t>(</m:t>
        </m:r>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Climate-only and climate-plus-space models were compared using AIC, with positive differences indicating improved support after including spatial structure. Model adequacy was evaluated using residual-versus-fitted and normal Q–Q plots, together with basis-dimension diagnostics based on the</w:t>
      </w:r>
      <w:r>
        <w:t xml:space="preserve"> </w:t>
      </w:r>
      <m:oMath>
        <m:r>
          <m:t>k</m:t>
        </m:r>
        <m:r>
          <m:rPr>
            <m:sty m:val="p"/>
          </m:rPr>
          <m:t>−</m:t>
        </m:r>
        <m:r>
          <m:t>i</m:t>
        </m:r>
        <m:r>
          <m:t>n</m:t>
        </m:r>
        <m:r>
          <m:t>d</m:t>
        </m:r>
        <m:r>
          <m:t>e</m:t>
        </m:r>
        <m:r>
          <m:t>x</m:t>
        </m:r>
      </m:oMath>
      <w:r>
        <w:t xml:space="preserve"> </w:t>
      </w:r>
      <w:r>
        <w:t xml:space="preserve">(Figures S7–S8). Overall model performance was summarized using adjusted</w:t>
      </w:r>
      <w:r>
        <w:t xml:space="preserve"> </w:t>
      </w:r>
      <m:oMath>
        <m:sSup>
          <m:e>
            <m:r>
              <m:t>R</m:t>
            </m:r>
          </m:e>
          <m:sup>
            <m:r>
              <m:t>2</m:t>
            </m:r>
          </m:sup>
        </m:sSup>
      </m:oMath>
      <w:r>
        <w:t xml:space="preserve">.</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944570"/>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4944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For palms, functional richness (FRic) declined significantly from contemporary warm–humid climates toward more seasonal climates (current PC1) (</w:t>
      </w:r>
      <w:hyperlink w:anchor="fig-04">
        <w:r>
          <w:rPr>
            <w:rStyle w:val="Hyperlink"/>
          </w:rPr>
          <w:t xml:space="preserve">Figure 4</w:t>
        </w:r>
      </w:hyperlink>
      <w:r>
        <w:t xml:space="preserve"> </w:t>
      </w:r>
      <w:r>
        <w:t xml:space="preserve">A; Table 1). Palm FRic showed no association with the contemporary warm–dry-to-cool–wet gradient (current PC2) (</w:t>
      </w:r>
      <w:hyperlink w:anchor="fig-04">
        <w:r>
          <w:rPr>
            <w:rStyle w:val="Hyperlink"/>
          </w:rPr>
          <w:t xml:space="preserve">Figure 4</w:t>
        </w:r>
      </w:hyperlink>
      <w:r>
        <w:t xml:space="preserve"> </w:t>
      </w:r>
      <w:r>
        <w:t xml:space="preserve">B; Table 1). Although the fitted smooths suggested modest non-linear variation along the Late Holocene anomaly PC1 and the Late Holocene anomaly PC2 gradients (Figure ; , neither relationship was statistically significant. Palm FRic also showed no detectable response to the LGM gradient from weaker to stronger cooling (LGM anomaly PC1) or the LGM seasonality and dry-season-moisture gradient (LGM anomaly PC2).</w:t>
      </w:r>
    </w:p>
    <w:p>
      <w:pPr>
        <w:pStyle w:val="BodyText"/>
      </w:pPr>
      <w:r>
        <w:t xml:space="preserve">Palm functional dispersion (FDis) showed no detectable association with the contemporary warm–humid-to-seasonal gradient (current PC1) and only weak evidence of non-linear variation along the warm–dry-to-cool–wet gradient (current PC2). In contrast, palm FDis responded significantly and non-linearly to the Late Holocene cooler–wetter-to-warmer–drier gradient (Late Holocene anomaly PC1), reaching its lowest values under moderately cooler–wetter anomalies and increasing toward both extremes. No relationships were detected with the Late Holocene gradient in seasonality and cold-season warming (Late Holocene anomaly PC2) or with either LGM anomaly axis.</w:t>
      </w:r>
    </w:p>
    <w:p>
      <w:pPr>
        <w:pStyle w:val="BodyText"/>
      </w:pPr>
      <w:r>
        <w:t xml:space="preserve">For mammals, FRic showed no significant relationship with the contemporary warm–humid-to-seasonal gradient (current PC1), despite a modest estimated decline toward highly seasonal climates. Weak evidence indicated that mammal FRic increased from warm–dry toward cool–wet contemporary climates (current PC2). Mammal FRic showed no detectable relationship with either the Late Holocene cooler–wetter-to-warmer–drier gradient (Late Holocene anomaly PC1) or its seasonality and cold-season-warming gradient (Late Holocene anomaly PC2). A weak, unimodal response was estimated along the LGM gradient from weaker to stronger cooling (LGM anomaly PC1), whereas no association was detected with the LGM seasonality and dry-season-moisture gradient (LGM anomaly PC2).</w:t>
      </w:r>
    </w:p>
    <w:p>
      <w:pPr>
        <w:pStyle w:val="BodyText"/>
      </w:pPr>
      <w:r>
        <w:t xml:space="preserve">Mammal FDis declined markedly from contemporary warm–humid toward highly seasonal climates (current PC1) and varied significantly and non-linearly along the contemporary warm–dry-to-cool–wet gradient (current PC2). It also increased from cooler–wetter toward warmer–drier Late Holocene anomalies (Late Holocene anomaly PC1) before levelling off. No relationships were detected with the Late Holocene gradient in seasonality and cold-season warming (Late Holocene anomaly PC2), the LGM cooling gradient (LGM anomaly PC1), or the LGM seasonality and dry-season-moisture gradient (LGM anomaly PC2).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3396915"/>
            <wp:effectExtent b="0" l="0" r="0" t="0"/>
            <wp:docPr descr="Figure S1. Climatic trajectories of Neotropical biogeographic provinces from the Last Glacial Maximum to the present. 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 title="" id="60" name="Picture"/>
            <a:graphic>
              <a:graphicData uri="http://schemas.openxmlformats.org/drawingml/2006/picture">
                <pic:pic>
                  <pic:nvPicPr>
                    <pic:cNvPr descr="images/clipboard-1421114467.png" id="61" name="Picture"/>
                    <pic:cNvPicPr>
                      <a:picLocks noChangeArrowheads="1" noChangeAspect="1"/>
                    </pic:cNvPicPr>
                  </pic:nvPicPr>
                  <pic:blipFill>
                    <a:blip r:embed="rId59"/>
                    <a:stretch>
                      <a:fillRect/>
                    </a:stretch>
                  </pic:blipFill>
                  <pic:spPr bwMode="auto">
                    <a:xfrm>
                      <a:off x="0" y="0"/>
                      <a:ext cx="5334000" cy="3396915"/>
                    </a:xfrm>
                    <a:prstGeom prst="rect">
                      <a:avLst/>
                    </a:prstGeom>
                    <a:noFill/>
                    <a:ln w="9525">
                      <a:noFill/>
                      <a:headEnd/>
                      <a:tailEnd/>
                    </a:ln>
                  </pic:spPr>
                </pic:pic>
              </a:graphicData>
            </a:graphic>
          </wp:inline>
        </w:drawing>
      </w:r>
    </w:p>
    <w:p>
      <w:pPr>
        <w:pStyle w:val="ImageCaption"/>
      </w:pPr>
      <w:r>
        <w:rPr>
          <w:b/>
          <w:bCs/>
        </w:rPr>
        <w:t xml:space="preserve">Figure S1. Climatic trajectories of Neotropical biogeographic provinces from the Last Glacial Maximum to the present.</w:t>
      </w:r>
      <w:r>
        <w:t xml:space="preserve"> </w:t>
      </w:r>
      <w:r>
        <w:t xml:space="preserve">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4cbfaf5f36ebd77ca32a96e3f4e137b703b5cd"/>
    <w:p>
      <w:pPr>
        <w:pStyle w:val="Heading4"/>
      </w:pPr>
      <w:r>
        <w:t xml:space="preserve">Figure S5. Contemporary and past climatic associations with present-day palm and mammal FRic</w:t>
      </w:r>
    </w:p>
    <w:p>
      <w:pPr>
        <w:pStyle w:val="CaptionedFigure"/>
      </w:pPr>
      <w:r>
        <w:drawing>
          <wp:inline>
            <wp:extent cx="5334000" cy="4149884"/>
            <wp:effectExtent b="0" l="0" r="0" t="0"/>
            <wp:docPr descr="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 title="" id="76" name="Picture"/>
            <a:graphic>
              <a:graphicData uri="http://schemas.openxmlformats.org/drawingml/2006/picture">
                <pic:pic>
                  <pic:nvPicPr>
                    <pic:cNvPr descr="images/clipboard-2462853185.png" id="77" name="Picture"/>
                    <pic:cNvPicPr>
                      <a:picLocks noChangeArrowheads="1" noChangeAspect="1"/>
                    </pic:cNvPicPr>
                  </pic:nvPicPr>
                  <pic:blipFill>
                    <a:blip r:embed="rId75"/>
                    <a:stretch>
                      <a:fillRect/>
                    </a:stretch>
                  </pic:blipFill>
                  <pic:spPr bwMode="auto">
                    <a:xfrm>
                      <a:off x="0" y="0"/>
                      <a:ext cx="5334000" cy="4149884"/>
                    </a:xfrm>
                    <a:prstGeom prst="rect">
                      <a:avLst/>
                    </a:prstGeom>
                    <a:noFill/>
                    <a:ln w="9525">
                      <a:noFill/>
                      <a:headEnd/>
                      <a:tailEnd/>
                    </a:ln>
                  </pic:spPr>
                </pic:pic>
              </a:graphicData>
            </a:graphic>
          </wp:inline>
        </w:drawing>
      </w:r>
    </w:p>
    <w:p>
      <w:pPr>
        <w:pStyle w:val="ImageCaption"/>
      </w:pPr>
      <w:r>
        <w:t xml:space="preserve">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w:t>
      </w:r>
    </w:p>
    <w:bookmarkEnd w:id="78"/>
    <w:bookmarkStart w:id="82" w:name="Xfffc6e6e91f92a030cdb7ca31d0bc6ca3a6aed3"/>
    <w:p>
      <w:pPr>
        <w:pStyle w:val="Heading4"/>
      </w:pPr>
      <w:r>
        <w:t xml:space="preserve">Figure S6. Contemporary and past climatic associations with present-day palm and mammal FDis</w:t>
      </w:r>
    </w:p>
    <w:p>
      <w:pPr>
        <w:pStyle w:val="CaptionedFigure"/>
      </w:pPr>
      <w:r>
        <w:drawing>
          <wp:inline>
            <wp:extent cx="5334000" cy="4784575"/>
            <wp:effectExtent b="0" l="0" r="0" t="0"/>
            <wp:docPr descr="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 title="" id="80" name="Picture"/>
            <a:graphic>
              <a:graphicData uri="http://schemas.openxmlformats.org/drawingml/2006/picture">
                <pic:pic>
                  <pic:nvPicPr>
                    <pic:cNvPr descr="images/clipboard-3273753962.png" id="81" name="Picture"/>
                    <pic:cNvPicPr>
                      <a:picLocks noChangeArrowheads="1" noChangeAspect="1"/>
                    </pic:cNvPicPr>
                  </pic:nvPicPr>
                  <pic:blipFill>
                    <a:blip r:embed="rId79"/>
                    <a:stretch>
                      <a:fillRect/>
                    </a:stretch>
                  </pic:blipFill>
                  <pic:spPr bwMode="auto">
                    <a:xfrm>
                      <a:off x="0" y="0"/>
                      <a:ext cx="5334000" cy="4784575"/>
                    </a:xfrm>
                    <a:prstGeom prst="rect">
                      <a:avLst/>
                    </a:prstGeom>
                    <a:noFill/>
                    <a:ln w="9525">
                      <a:noFill/>
                      <a:headEnd/>
                      <a:tailEnd/>
                    </a:ln>
                  </pic:spPr>
                </pic:pic>
              </a:graphicData>
            </a:graphic>
          </wp:inline>
        </w:drawing>
      </w:r>
    </w:p>
    <w:p>
      <w:pPr>
        <w:pStyle w:val="ImageCaption"/>
      </w:pPr>
      <w:r>
        <w:t xml:space="preserve">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w:t>
      </w:r>
    </w:p>
    <w:bookmarkEnd w:id="82"/>
    <w:bookmarkStart w:id="86" w:name="Xbab6d74428f47ad83de833078177d5777eaed30"/>
    <w:p>
      <w:pPr>
        <w:pStyle w:val="Heading4"/>
      </w:pPr>
      <w:r>
        <w:t xml:space="preserve">Figure S7. Diagnostic plots for the generalized additive models of FRic and FDis.</w:t>
      </w:r>
    </w:p>
    <w:p>
      <w:pPr>
        <w:pStyle w:val="CaptionedFigure"/>
      </w:pPr>
      <w:r>
        <w:drawing>
          <wp:inline>
            <wp:extent cx="5334000" cy="4577482"/>
            <wp:effectExtent b="0" l="0" r="0" t="0"/>
            <wp:docPr descr="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 title="" id="84" name="Picture"/>
            <a:graphic>
              <a:graphicData uri="http://schemas.openxmlformats.org/drawingml/2006/picture">
                <pic:pic>
                  <pic:nvPicPr>
                    <pic:cNvPr descr="images/clipboard-3728963362.png" id="85" name="Picture"/>
                    <pic:cNvPicPr>
                      <a:picLocks noChangeArrowheads="1" noChangeAspect="1"/>
                    </pic:cNvPicPr>
                  </pic:nvPicPr>
                  <pic:blipFill>
                    <a:blip r:embed="rId83"/>
                    <a:stretch>
                      <a:fillRect/>
                    </a:stretch>
                  </pic:blipFill>
                  <pic:spPr bwMode="auto">
                    <a:xfrm>
                      <a:off x="0" y="0"/>
                      <a:ext cx="5334000" cy="4577482"/>
                    </a:xfrm>
                    <a:prstGeom prst="rect">
                      <a:avLst/>
                    </a:prstGeom>
                    <a:noFill/>
                    <a:ln w="9525">
                      <a:noFill/>
                      <a:headEnd/>
                      <a:tailEnd/>
                    </a:ln>
                  </pic:spPr>
                </pic:pic>
              </a:graphicData>
            </a:graphic>
          </wp:inline>
        </w:drawing>
      </w:r>
    </w:p>
    <w:p>
      <w:pPr>
        <w:pStyle w:val="ImageCaption"/>
      </w:pPr>
      <w:r>
        <w:t xml:space="preserve">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w:t>
      </w:r>
    </w:p>
    <w:bookmarkEnd w:id="86"/>
    <w:bookmarkStart w:id="90" w:name="X59aedd649d5c55e8dccfd5a92721004d63c492b"/>
    <w:p>
      <w:pPr>
        <w:pStyle w:val="Heading4"/>
      </w:pPr>
      <w:r>
        <w:t xml:space="preserve">Figure S8. Diagnostic plots for the generalized additive model for FTA</w:t>
      </w:r>
    </w:p>
    <w:p>
      <w:pPr>
        <w:pStyle w:val="CaptionedFigure"/>
      </w:pPr>
      <w:r>
        <w:drawing>
          <wp:inline>
            <wp:extent cx="5334000" cy="2823237"/>
            <wp:effectExtent b="0" l="0" r="0" t="0"/>
            <wp:docPr descr="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 title="" id="88" name="Picture"/>
            <a:graphic>
              <a:graphicData uri="http://schemas.openxmlformats.org/drawingml/2006/picture">
                <pic:pic>
                  <pic:nvPicPr>
                    <pic:cNvPr descr="images/clipboard-1076794788.png" id="89" name="Picture"/>
                    <pic:cNvPicPr>
                      <a:picLocks noChangeArrowheads="1" noChangeAspect="1"/>
                    </pic:cNvPicPr>
                  </pic:nvPicPr>
                  <pic:blipFill>
                    <a:blip r:embed="rId87"/>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823237"/>
            <wp:effectExtent b="0" l="0" r="0" t="0"/>
            <wp:docPr descr="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 title="" id="92" name="Picture"/>
            <a:graphic>
              <a:graphicData uri="http://schemas.openxmlformats.org/drawingml/2006/picture">
                <pic:pic>
                  <pic:nvPicPr>
                    <pic:cNvPr descr="images/clipboard-485580890.png" id="93" name="Picture"/>
                    <pic:cNvPicPr>
                      <a:picLocks noChangeArrowheads="1" noChangeAspect="1"/>
                    </pic:cNvPicPr>
                  </pic:nvPicPr>
                  <pic:blipFill>
                    <a:blip r:embed="rId91"/>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87" Target="media/rId87.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45" Target="media/rId45.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2026-09-12T17:44:29Z</dcterms:created>
  <dcterms:modified xsi:type="dcterms:W3CDTF">2026-09-12T17:44:29Z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2026-09-12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