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0.png" ContentType="image/png"/>
  <Override PartName="/word/media/rId91.png" ContentType="image/png"/>
  <Override PartName="/word/media/rId87.png" ContentType="image/png"/>
  <Override PartName="/word/media/rId67.png" ContentType="image/png"/>
  <Override PartName="/word/media/rId59.png" ContentType="image/png"/>
  <Override PartName="/word/media/rId45.png" ContentType="image/png"/>
  <Override PartName="/word/media/rId75.png" ContentType="image/png"/>
  <Override PartName="/word/media/rId28.png" ContentType="image/png"/>
  <Override PartName="/word/media/rId35.png" ContentType="image/png"/>
  <Override PartName="/word/media/rId83.png" ContentType="image/png"/>
  <Override PartName="/word/media/rId79.png" ContentType="image/png"/>
  <Override PartName="/word/media/rId71.png" ContentType="image/png"/>
  <Override PartName="/word/media/rId6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2026-09-07</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conditions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w:t>
      </w:r>
      <w:r>
        <w:t xml:space="preserve"> </w:t>
      </w:r>
      <w:r>
        <w:t xml:space="preserve">(McCain and King 2014; Moretti and Legg 2009; Kissling et al. 2012)</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FRic or FDis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FRic and FDis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FRic or FDis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FRic, high FTA could indicate differences in the strength of environmental filtering of distinct trophic levels within a multitrophic species assemblage. Alternatively, low FTA could indicate that the strength of environmental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FDis,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interesting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FRic and FDis of palms and mammalian frugivores; (2) whether differences between their responses generate FTA; and (3) which climatic variables best explain geographic variation in FTA across the Neotropics. Addressing these questions can clarify whether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92735"/>
                  <wp:effectExtent b="0" l="0" r="0" t="0"/>
                  <wp:docPr descr="" title="" id="21" name="Picture"/>
                  <a:graphic>
                    <a:graphicData uri="http://schemas.openxmlformats.org/drawingml/2006/picture">
                      <pic:pic>
                        <pic:nvPicPr>
                          <pic:cNvPr descr="images/clipboard-1021119434.png" id="22" name="Picture"/>
                          <pic:cNvPicPr>
                            <a:picLocks noChangeArrowheads="1" noChangeAspect="1"/>
                          </pic:cNvPicPr>
                        </pic:nvPicPr>
                        <pic:blipFill>
                          <a:blip r:embed="rId20"/>
                          <a:stretch>
                            <a:fillRect/>
                          </a:stretch>
                        </pic:blipFill>
                        <pic:spPr bwMode="auto">
                          <a:xfrm>
                            <a:off x="0" y="0"/>
                            <a:ext cx="5334000" cy="35927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FTA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came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of the species pool of each biogeographic province when at least 5% of its occupied range cells occurred within that biogeographic province, reducing the influence of marginal overlaps between species ranges and province boundaries. Species represented by fewer than ten occupied raster cells were excluded from the biogeographic province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large-scale climatic variation across Neotropical biogeographic provinces under contemporary, mid-Holocene (~6ka), and Last Glacial Maximum (LGM) (~21ka) conditions. The contemporary climatic baseline underlying PaleoClim was derived from the Climatologies at High Resolution for the Earth’s Land Surface Areas (CHELSA) dataset</w:t>
      </w:r>
      <w:r>
        <w:t xml:space="preserve"> </w:t>
      </w:r>
      <w:r>
        <w:t xml:space="preserve">(Karger et al. 2017)</w:t>
      </w:r>
      <w:r>
        <w:t xml:space="preserve">. For each province and climatic period, we calculated the mean of each bioclimatic variable by averaging the raster cells contained within each biogeographic provinces. To reduce dimensionality while accounting for collinearity among climatic predictors, we performed a principal component analysis (PCA) on the bioclimatic variables for each climatic period (i.e. contemporary, mid-Holocene, LGM conditions ) (</w:t>
      </w:r>
      <w:hyperlink w:anchor="fig-02">
        <w:r>
          <w:rPr>
            <w:rStyle w:val="Hyperlink"/>
          </w:rPr>
          <w:t xml:space="preserve">Figure 2</w:t>
        </w:r>
      </w:hyperlink>
      <w:r>
        <w:t xml:space="preserve">; Figure S1). Because the signs of PCA axes are arbitrary across time periods, PC1 and PC2 were oriented consistently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2785533"/>
                  <wp:effectExtent b="0" l="0" r="0" t="0"/>
                  <wp:docPr descr="" title="" id="29" name="Picture"/>
                  <a:graphic>
                    <a:graphicData uri="http://schemas.openxmlformats.org/drawingml/2006/picture">
                      <pic:pic>
                        <pic:nvPicPr>
                          <pic:cNvPr descr="images/clipboard-3482144691.png" id="30" name="Picture"/>
                          <pic:cNvPicPr>
                            <a:picLocks noChangeArrowheads="1" noChangeAspect="1"/>
                          </pic:cNvPicPr>
                        </pic:nvPicPr>
                        <pic:blipFill>
                          <a:blip r:embed="rId28"/>
                          <a:stretch>
                            <a:fillRect/>
                          </a:stretch>
                        </pic:blipFill>
                        <pic:spPr bwMode="auto">
                          <a:xfrm>
                            <a:off x="0" y="0"/>
                            <a:ext cx="5334000" cy="2785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Contemporary climate principal component analysis (PCA) and the geographic distribution of PCA scores across biogeographic provinces in the Neotropics. (A)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 $\sqrt{\mathrm{PC1}^2 + \mathrm{PC2}^2}$ 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quantitatively describe how species differ across their multiple traits, we calculated differences among species using Gower distances, which scales multidimensional trait differences on a common 0–1 scale</w:t>
      </w:r>
      <w:r>
        <w:t xml:space="preserve"> </w:t>
      </w:r>
      <w:r>
        <w:t xml:space="preserve">(De Bello et al. 2021)</w:t>
      </w:r>
      <w:r>
        <w:t xml:space="preserve">. We then used principal coordinates analysis (PCoA)</w:t>
      </w:r>
      <w:r>
        <w:t xml:space="preserve"> </w:t>
      </w:r>
      <w:r>
        <w:t xml:space="preserve">(Legendre and Borcard 2018)</w:t>
      </w:r>
      <w:r>
        <w:t xml:space="preserve"> </w:t>
      </w:r>
      <w:r>
        <w:t xml:space="preserve">to embed species within multidimensional continuous trait spaces (Figure S2). For each trophic level, we retained only those axes that cumulatively comprised more than 75% of the total variance (Figure S3). For mammals, we retained two axes, which explained 52.5% and 20.4% of the variation. For palms, we retained one axis, which explained 89.9%. For mammals, the two trait axes captured a trait space with shared variation in both morphology and behavior. For palms, the main axis primarily reflected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FRic and FDis on the previously described palm and mammal functional trait spaces (Figure S2). FRic measured the occupied volume of the local assemblage within the larger trait space of the continental pool.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FRic, this corresponds to mammals occupying a relatively larger volume of functional trait space than expected given species richness. For FDis,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and climatic period, we fitted separate Generalized Additive Models (GAMs) containing penalized thin-plate regression splines for period-specific climatic PC axes:</w:t>
      </w:r>
      <w:r>
        <w:t xml:space="preserve"> </w:t>
      </w:r>
      <m:oMath>
        <m:r>
          <m:t>F</m:t>
        </m:r>
        <m:r>
          <m:t>D</m:t>
        </m:r>
        <m:r>
          <m:rPr>
            <m:sty m:val="p"/>
          </m:rPr>
          <m:t>=</m:t>
        </m:r>
        <m:r>
          <m:t>s</m:t>
        </m:r>
        <m:d>
          <m:dPr>
            <m:begChr m:val="("/>
            <m:endChr m:val=")"/>
            <m:sepChr m:val=""/>
            <m:grow/>
          </m:dPr>
          <m:e>
            <m:r>
              <m:t>P</m:t>
            </m:r>
            <m:r>
              <m:t>C</m:t>
            </m:r>
            <m:sSub>
              <m:e>
                <m:r>
                  <m:t>1</m:t>
                </m:r>
              </m:e>
              <m:sub>
                <m:r>
                  <m:t>t</m:t>
                </m:r>
              </m:sub>
            </m:sSub>
          </m:e>
        </m:d>
        <m:r>
          <m:rPr>
            <m:sty m:val="p"/>
          </m:rPr>
          <m:t>+</m:t>
        </m:r>
        <m:r>
          <m:t>s</m:t>
        </m:r>
        <m:d>
          <m:dPr>
            <m:begChr m:val="("/>
            <m:endChr m:val=")"/>
            <m:sepChr m:val=""/>
            <m:grow/>
          </m:dPr>
          <m:e>
            <m:r>
              <m:t>P</m:t>
            </m:r>
            <m:r>
              <m:t>C</m:t>
            </m:r>
            <m:sSub>
              <m:e>
                <m:r>
                  <m:t>2</m:t>
                </m:r>
              </m:e>
              <m:sub>
                <m:r>
                  <m:t>t</m:t>
                </m:r>
              </m:sub>
            </m:sSub>
          </m:e>
        </m:d>
      </m:oMath>
      <w:r>
        <w:t xml:space="preserve"> </w:t>
      </w:r>
      <w:r>
        <w:t xml:space="preserve">where (t) represents a climatic period. Models were fit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Smooths were fitted using a conservative basis dimension of (k=4), and models were estimated by restricted maximum likelihood with shrinkage selection</w:t>
      </w:r>
      <w:r>
        <w:t xml:space="preserve"> </w:t>
      </w:r>
      <w:r>
        <w:t xml:space="preserve">(Wood and N 2017)</w:t>
      </w:r>
      <w:r>
        <w:t xml:space="preserve">. Tensor-product interactions were not included. Additionally, to determine whether climatic associations persisted after accounting for broad-scale spatial structure, we fitted spatial sensitivity models that included a two-dimensional smooth of longitude and latitude centroids for each biogeographic province</w:t>
      </w:r>
      <w:r>
        <w:t xml:space="preserve"> </w:t>
      </w:r>
      <m:oMath>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Model adequacy was assessed by visual inspection of residual-versus-fitted and normal QQ plots (Figures S7–S8). The explanatory performance of the three temporal models was compared using AIC, adjusted (</w:t>
      </w:r>
      <m:oMath>
        <m:sSup>
          <m:e>
            <m:r>
              <m:t>R</m:t>
            </m:r>
          </m:e>
          <m:sup>
            <m:r>
              <m:t>2</m:t>
            </m:r>
          </m:sup>
        </m:sSup>
      </m:oMath>
      <w:r>
        <w:t xml:space="preserve">), and deviance explained (%).</w:t>
      </w:r>
    </w:p>
    <w:bookmarkEnd w:id="33"/>
    <w:bookmarkEnd w:id="34"/>
    <w:bookmarkStart w:id="53" w:name="results"/>
    <w:p>
      <w:pPr>
        <w:pStyle w:val="Heading2"/>
      </w:pPr>
      <w:r>
        <w:t xml:space="preserve">RESULTS</w:t>
      </w:r>
    </w:p>
    <w:bookmarkStart w:id="39" w:name="Xbbe4f3fec0af2b8b0d7a5c2d471af756d779671"/>
    <w:p>
      <w:pPr>
        <w:pStyle w:val="Heading3"/>
      </w:pPr>
      <w:r>
        <w:t xml:space="preserve">Geographic distribution of FRic, FDis, and FTA</w:t>
      </w:r>
    </w:p>
    <w:p>
      <w:pPr>
        <w:pStyle w:val="FirstParagraph"/>
      </w:pPr>
      <w:r>
        <w:t xml:space="preserve">Palm FRic was highest in Central America and parts of eastern and southern South America (</w:t>
      </w:r>
      <w:hyperlink w:anchor="fig-03">
        <w:r>
          <w:rPr>
            <w:rStyle w:val="Hyperlink"/>
          </w:rPr>
          <w:t xml:space="preserve">Figure 3</w:t>
        </w:r>
      </w:hyperlink>
      <w:r>
        <w:t xml:space="preserve"> </w:t>
      </w:r>
      <w:r>
        <w:t xml:space="preserve">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FRic-FTA. Palm richness was greater across much of Amazonia, while mammal richness was greater in eastern South America (</w:t>
      </w:r>
      <w:hyperlink w:anchor="fig-03">
        <w:r>
          <w:rPr>
            <w:rStyle w:val="Hyperlink"/>
          </w:rPr>
          <w:t xml:space="preserve">Figure 3</w:t>
        </w:r>
      </w:hyperlink>
      <w:r>
        <w:t xml:space="preserve"> </w:t>
      </w:r>
      <w:r>
        <w:t xml:space="preserve">C). FDis showed a different pattern. Palm FDis peaked in southeastern Brazil, whereas mammal FDis was high across much of tropical South America (</w:t>
      </w:r>
      <w:hyperlink w:anchor="fig-03">
        <w:r>
          <w:rPr>
            <w:rStyle w:val="Hyperlink"/>
          </w:rPr>
          <w:t xml:space="preserve">Figure 3</w:t>
        </w:r>
      </w:hyperlink>
      <w:r>
        <w:t xml:space="preserve"> </w:t>
      </w:r>
      <w:r>
        <w:t xml:space="preserve">D–E). FDis-FTA was therefore positive across most of the Neotropics but negative in southeastern Brazil (</w:t>
      </w:r>
      <w:hyperlink w:anchor="fig-03">
        <w:r>
          <w:rPr>
            <w:rStyle w:val="Hyperlink"/>
          </w:rPr>
          <w:t xml:space="preserve">Figure 3</w:t>
        </w:r>
      </w:hyperlink>
      <w:r>
        <w:t xml:space="preserve"> </w:t>
      </w:r>
      <w:r>
        <w:t xml:space="preserve">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4944570"/>
                  <wp:effectExtent b="0" l="0" r="0" t="0"/>
                  <wp:docPr descr="" title="" id="36" name="Picture"/>
                  <a:graphic>
                    <a:graphicData uri="http://schemas.openxmlformats.org/drawingml/2006/picture">
                      <pic:pic>
                        <pic:nvPicPr>
                          <pic:cNvPr descr="images/clipboard-3632621564.png" id="37" name="Picture"/>
                          <pic:cNvPicPr>
                            <a:picLocks noChangeArrowheads="1" noChangeAspect="1"/>
                          </pic:cNvPicPr>
                        </pic:nvPicPr>
                        <pic:blipFill>
                          <a:blip r:embed="rId35"/>
                          <a:stretch>
                            <a:fillRect/>
                          </a:stretch>
                        </pic:blipFill>
                        <pic:spPr bwMode="auto">
                          <a:xfrm>
                            <a:off x="0" y="0"/>
                            <a:ext cx="5334000" cy="4944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FRic, FDis, and FTA across Neotropical biogeographic provinces</w:t>
            </w:r>
            <w:r>
              <w:t xml:space="preserve">. Maps show standardized effect sizes (SES) of FRic (top row) and FDis (bottom row) for palm assemblages (left column), mammal assemblages (middle column), and FTA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We found weak relationships between current climate and present-day FRic. Palm SES-FRic declined non-linearly with PC1 (</w:t>
      </w:r>
      <w:hyperlink w:anchor="fig-04">
        <w:r>
          <w:rPr>
            <w:rStyle w:val="Hyperlink"/>
          </w:rPr>
          <w:t xml:space="preserve">Figure 4</w:t>
        </w:r>
      </w:hyperlink>
      <w:r>
        <w:t xml:space="preserve"> </w:t>
      </w:r>
      <w:r>
        <w:t xml:space="preserve">A) , whereas mammal SES-FRic increased slightly with PC2 (</w:t>
      </w:r>
      <w:hyperlink w:anchor="fig-04">
        <w:r>
          <w:rPr>
            <w:rStyle w:val="Hyperlink"/>
          </w:rPr>
          <w:t xml:space="preserve">Figure 4</w:t>
        </w:r>
      </w:hyperlink>
      <w:r>
        <w:t xml:space="preserve"> </w:t>
      </w:r>
      <w:r>
        <w:t xml:space="preserve">B), although neither relationship was statistically supported (Table 1). Current climate was more strongly associated with present-day FDis: mammal traits became increasingly clustered toward cooler, drier, and more thermally seasonal environments (</w:t>
      </w:r>
      <w:hyperlink w:anchor="fig-04">
        <w:r>
          <w:rPr>
            <w:rStyle w:val="Hyperlink"/>
          </w:rPr>
          <w:t xml:space="preserve">Figure 4</w:t>
        </w:r>
      </w:hyperlink>
      <w:r>
        <w:t xml:space="preserve"> </w:t>
      </w:r>
      <w:r>
        <w:t xml:space="preserve">C-D ; Table 1).</w:t>
      </w:r>
    </w:p>
    <w:p>
      <w:pPr>
        <w:pStyle w:val="BodyText"/>
      </w:pPr>
      <w:r>
        <w:t xml:space="preserve">Present-day mammal assemblages were more functionally clustered in provinces that experienced cooler, drier, and more seasonal conditions during the late Holocene (Figure S5-I ; Table 1). Present-day palm assemblages occupied less trait space in provinces characterized by the coolest, driest, and most thermally seasonal LGM conditions (Figure S5-E ;Table 1). In contrast, present-day mammal assemblages occupied more trait space in provinces that experienced cooler, wetter, and less seasonal LGM conditions (Figure S5-F ; Table 1), with trait dispersion greatest under intermediate LGM climates (Figure S5-L ; Table 1). For functional diversity, model diagnostics showed broadly normal residual distributions, with minor tail departures and some residual curvature in models with low explained deviance (Figures S7;S8). Additionally, accounting for spatial structure improved model fit for palm FRic (ΔAIC = 5.52), palm FDis (ΔAIC = 17.9), and mammal FRic (ΔAIC = 15.6). Mammal FDis was unchanged (ΔAIC ≈ 0), indicating little additional contribution from spatial structure (Figure S9).</w:t>
      </w:r>
    </w:p>
    <w:p>
      <w:pPr>
        <w:pStyle w:val="BodyText"/>
      </w:pPr>
      <w:r>
        <w:t xml:space="preserve">We found the clearest support for past climatic associations in mammals. LGM models explained 18.9% of mammal SES-FRic and 41.6% of mammal SES-FDis variation, compared with 2.7% and 33.8% for current-climate models (</w:t>
      </w:r>
      <w:r>
        <w:rPr>
          <w:b/>
          <w:bCs/>
        </w:rPr>
        <w:t xml:space="preserve">?@fig-06</w:t>
      </w:r>
      <w:r>
        <w:t xml:space="preserve"> </w:t>
      </w:r>
      <w:r>
        <w:t xml:space="preserve">A-B; Table 2). For palms, associations with current and past climate were often similarly informative (ΔAAIC &lt; 2) (</w:t>
      </w:r>
      <w:r>
        <w:rPr>
          <w:b/>
          <w:bCs/>
        </w:rPr>
        <w:t xml:space="preserve">?@fig-06</w:t>
      </w:r>
      <w:r>
        <w:t xml:space="preserve"> </w:t>
      </w:r>
      <w:r>
        <w:t xml:space="preserve">A-B;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056551"/>
                  <wp:effectExtent b="0" l="0" r="0" t="0"/>
                  <wp:docPr descr="" title="" id="41" name="Picture"/>
                  <a:graphic>
                    <a:graphicData uri="http://schemas.openxmlformats.org/drawingml/2006/picture">
                      <pic:pic>
                        <pic:nvPicPr>
                          <pic:cNvPr descr="images/clipboard-908738126.png" id="42" name="Picture"/>
                          <pic:cNvPicPr>
                            <a:picLocks noChangeArrowheads="1" noChangeAspect="1"/>
                          </pic:cNvPicPr>
                        </pic:nvPicPr>
                        <pic:blipFill>
                          <a:blip r:embed="rId40"/>
                          <a:stretch>
                            <a:fillRect/>
                          </a:stretch>
                        </pic:blipFill>
                        <pic:spPr bwMode="auto">
                          <a:xfrm>
                            <a:off x="0" y="0"/>
                            <a:ext cx="5334000" cy="4056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FRic and FDis with current climate.</w:t>
            </w:r>
            <w:r>
              <w:t xml:space="preserve"> </w:t>
            </w:r>
            <w:r>
              <w:t xml:space="preserve">Generalized additive model smooths showing the effects of current climatic PC1 and PC2 on standardized effect sizes of FRic (FRic; A and B) and FDis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FRic-FTA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FDis-FTA,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statistically significant (Table 1). The late-Holocene model received the most support and explained 31.9% of the deviance (Table 2). For FTA, residuals were also approximately normal. The residual-versus-fitted plots showed limited remaining structure, although with a few outliers present, particularly in the LGM models (Figure S7; S8). Adding spatial structure improved both models. The improvement was stronger for FTA-FRic (ΔAIC = 12.9) than for FDis-FTA (ΔAIC = 6.66). (Figure S9)</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3647139"/>
                  <wp:effectExtent b="0" l="0" r="0" t="0"/>
                  <wp:docPr descr="" title="" id="46" name="Picture"/>
                  <a:graphic>
                    <a:graphicData uri="http://schemas.openxmlformats.org/drawingml/2006/picture">
                      <pic:pic>
                        <pic:nvPicPr>
                          <pic:cNvPr descr="images/clipboard-2235762492.png" id="47" name="Picture"/>
                          <pic:cNvPicPr>
                            <a:picLocks noChangeArrowheads="1" noChangeAspect="1"/>
                          </pic:cNvPicPr>
                        </pic:nvPicPr>
                        <pic:blipFill>
                          <a:blip r:embed="rId45"/>
                          <a:stretch>
                            <a:fillRect/>
                          </a:stretch>
                        </pic:blipFill>
                        <pic:spPr bwMode="auto">
                          <a:xfrm>
                            <a:off x="0" y="0"/>
                            <a:ext cx="5334000" cy="36471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Climatic associations of functional trophic asymmetry across Neotropical biogeographic provinces.</w:t>
            </w:r>
            <w:r>
              <w:t xml:space="preserve"> </w:t>
            </w:r>
            <w:r>
              <w:t xml:space="preserve">Partial effects of current climate, late-Holocene anomalies, and Last Glacial Maximum (LGM) anomalies on FTA–FRic; purple solid lines) and fFTA–FDis; green dashed lines. Panels A–C show responses along PC1 for current, late-Holocene anomaly, and LGM anomaly climates, respectively; panels D–F show the corresponding responses along PC2. Lines are estimated smooths from generalized additive models, and shaded bands represent approximately 95% confidence intervals (±2 SE). Horizontal dashed lines indicate no partial effect. Climatic anomalies were calculated as past minus present.</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Climate associations with FRic, FDis, and FTA.</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FRic and FDis, and on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4830"/>
              <w:tblLayout w:type="fixed"/>
              <w:tblLook w:firstRow="1" w:lastRow="0" w:firstColumn="0" w:lastColumn="0" w:noHBand="0" w:noVBand="0" w:val="0020"/>
            </w:tblPr>
            <w:tblGrid>
              <w:gridCol w:w="1185"/>
              <w:gridCol w:w="1077"/>
              <w:gridCol w:w="1185"/>
              <w:gridCol w:w="808"/>
              <w:gridCol w:w="1293"/>
              <w:gridCol w:w="808"/>
              <w:gridCol w:w="1293"/>
            </w:tblGrid>
            <w:tr>
              <w:trPr>
                <w:tblHeader w:val="on"/>
              </w:trPr>
              <w:tc>
                <w:tcPr/>
                <w:p>
                  <w:pPr>
                    <w:pStyle w:val="Compact"/>
                    <w:jc w:val="center"/>
                  </w:pPr>
                  <w:r>
                    <w:t xml:space="preserve">Climate axis</w:t>
                  </w:r>
                </w:p>
              </w:tc>
              <w:tc>
                <w:tcPr/>
                <w:p>
                  <w:pPr>
                    <w:pStyle w:val="Compact"/>
                    <w:jc w:val="center"/>
                  </w:pPr>
                  <w:r>
                    <w:t xml:space="preserve">Palm</w:t>
                  </w:r>
                  <w:r>
                    <w:br/>
                  </w:r>
                  <w:r>
                    <w:t xml:space="preserve">FRic</w:t>
                  </w:r>
                </w:p>
              </w:tc>
              <w:tc>
                <w:tcPr/>
                <w:p>
                  <w:pPr>
                    <w:pStyle w:val="Compact"/>
                    <w:jc w:val="center"/>
                  </w:pPr>
                  <w:r>
                    <w:t xml:space="preserve">Palm</w:t>
                  </w:r>
                  <w:r>
                    <w:br/>
                  </w:r>
                  <w:r>
                    <w:t xml:space="preserve">FDis</w:t>
                  </w:r>
                </w:p>
              </w:tc>
              <w:tc>
                <w:tcPr/>
                <w:p>
                  <w:pPr>
                    <w:pStyle w:val="Compact"/>
                    <w:jc w:val="center"/>
                  </w:pPr>
                  <w:r>
                    <w:t xml:space="preserve">Mammal</w:t>
                  </w:r>
                  <w:r>
                    <w:br/>
                  </w:r>
                  <w:r>
                    <w:t xml:space="preserve">FRic</w:t>
                  </w:r>
                </w:p>
              </w:tc>
              <w:tc>
                <w:tcPr/>
                <w:p>
                  <w:pPr>
                    <w:pStyle w:val="Compact"/>
                    <w:jc w:val="center"/>
                  </w:pPr>
                  <w:r>
                    <w:t xml:space="preserve">Mammal</w:t>
                  </w:r>
                  <w:r>
                    <w:br/>
                  </w:r>
                  <w:r>
                    <w:t xml:space="preserve">FDis</w:t>
                  </w:r>
                </w:p>
              </w:tc>
              <w:tc>
                <w:tcPr/>
                <w:p>
                  <w:pPr>
                    <w:pStyle w:val="Compact"/>
                    <w:jc w:val="center"/>
                  </w:pPr>
                  <w:r>
                    <w:t xml:space="preserve">FTA</w:t>
                  </w:r>
                  <w:r>
                    <w:br/>
                  </w:r>
                  <w:r>
                    <w:t xml:space="preserve">FRic</w:t>
                  </w:r>
                </w:p>
              </w:tc>
              <w:tc>
                <w:tcPr/>
                <w:p>
                  <w:pPr>
                    <w:pStyle w:val="Compact"/>
                    <w:jc w:val="center"/>
                  </w:pPr>
                  <w:r>
                    <w:t xml:space="preserve">FTA</w:t>
                  </w:r>
                  <w:r>
                    <w:br/>
                  </w:r>
                  <w:r>
                    <w:t xml:space="preserve">FDis</w:t>
                  </w:r>
                </w:p>
              </w:tc>
            </w:tr>
            <w:tr>
              <w:tc>
                <w:tcPr/>
                <w:p>
                  <w:pPr>
                    <w:pStyle w:val="Compact"/>
                    <w:jc w:val="center"/>
                  </w:pPr>
                  <w:r>
                    <w:rPr>
                      <w:b/>
                      <w:bCs/>
                    </w:rPr>
                    <w:t xml:space="preserve">Current PC1</w:t>
                  </w:r>
                </w:p>
              </w:tc>
              <w:tc>
                <w:tcPr/>
                <w:p>
                  <w:pPr>
                    <w:pStyle w:val="Compact"/>
                    <w:jc w:val="center"/>
                  </w:pPr>
                  <w:r>
                    <w:rPr>
                      <w:b/>
                      <w:bCs/>
                    </w:rPr>
                    <w:t xml:space="preserve">1.24 (1.15)*</w:t>
                  </w:r>
                </w:p>
              </w:tc>
              <w:tc>
                <w:tcPr/>
                <w:p>
                  <w:pPr>
                    <w:pStyle w:val="Compact"/>
                    <w:jc w:val="center"/>
                  </w:pPr>
                  <w:r>
                    <w:t xml:space="preserve">0.15 (0.35)</w:t>
                  </w:r>
                </w:p>
              </w:tc>
              <w:tc>
                <w:tcPr/>
                <w:p>
                  <w:pPr>
                    <w:pStyle w:val="Compact"/>
                    <w:jc w:val="center"/>
                  </w:pPr>
                  <w:r>
                    <w:t xml:space="preserve">0.45 (0.83)</w:t>
                  </w:r>
                </w:p>
              </w:tc>
              <w:tc>
                <w:tcPr/>
                <w:p>
                  <w:pPr>
                    <w:pStyle w:val="Compact"/>
                    <w:jc w:val="center"/>
                  </w:pPr>
                  <w:r>
                    <w:rPr>
                      <w:b/>
                      <w:bCs/>
                    </w:rPr>
                    <w:t xml:space="preserve">4.19 (0.93)***</w:t>
                  </w:r>
                </w:p>
              </w:tc>
              <w:tc>
                <w:tcPr/>
                <w:p>
                  <w:pPr>
                    <w:pStyle w:val="Compact"/>
                    <w:jc w:val="center"/>
                  </w:pPr>
                  <w:r>
                    <w:t xml:space="preserve">0.00 (0.00)</w:t>
                  </w:r>
                </w:p>
              </w:tc>
              <w:tc>
                <w:tcPr/>
                <w:p>
                  <w:pPr>
                    <w:pStyle w:val="Compact"/>
                    <w:jc w:val="center"/>
                  </w:pPr>
                  <w:r>
                    <w:rPr>
                      <w:b/>
                      <w:bCs/>
                    </w:rPr>
                    <w:t xml:space="preserve">5.07 (1.65)***</w:t>
                  </w:r>
                </w:p>
              </w:tc>
            </w:tr>
            <w:tr>
              <w:tc>
                <w:tcPr/>
                <w:p>
                  <w:pPr>
                    <w:pStyle w:val="Compact"/>
                    <w:jc w:val="center"/>
                  </w:pPr>
                  <w:r>
                    <w:rPr>
                      <w:b/>
                      <w:bCs/>
                    </w:rPr>
                    <w:t xml:space="preserve">Current PC2</w:t>
                  </w:r>
                </w:p>
              </w:tc>
              <w:tc>
                <w:tcPr/>
                <w:p>
                  <w:pPr>
                    <w:pStyle w:val="Compact"/>
                    <w:jc w:val="center"/>
                  </w:pPr>
                  <w:r>
                    <w:t xml:space="preserve">0.00 (0.00)</w:t>
                  </w:r>
                </w:p>
              </w:tc>
              <w:tc>
                <w:tcPr/>
                <w:p>
                  <w:pPr>
                    <w:pStyle w:val="Compact"/>
                    <w:jc w:val="center"/>
                  </w:pPr>
                  <w:r>
                    <w:t xml:space="preserve">1.05 (1.15)·</w:t>
                  </w:r>
                </w:p>
              </w:tc>
              <w:tc>
                <w:tcPr/>
                <w:p>
                  <w:pPr>
                    <w:pStyle w:val="Compact"/>
                    <w:jc w:val="center"/>
                  </w:pPr>
                  <w:r>
                    <w:t xml:space="preserve">0.71 (0.68)·</w:t>
                  </w:r>
                </w:p>
              </w:tc>
              <w:tc>
                <w:tcPr/>
                <w:p>
                  <w:pPr>
                    <w:pStyle w:val="Compact"/>
                    <w:jc w:val="center"/>
                  </w:pPr>
                  <w:r>
                    <w:rPr>
                      <w:b/>
                      <w:bCs/>
                    </w:rPr>
                    <w:t xml:space="preserve">3.01 (1.54)**</w:t>
                  </w:r>
                </w:p>
              </w:tc>
              <w:tc>
                <w:tcPr/>
                <w:p>
                  <w:pPr>
                    <w:pStyle w:val="Compact"/>
                    <w:jc w:val="center"/>
                  </w:pPr>
                  <w:r>
                    <w:t xml:space="preserve">0.00 (0.00)</w:t>
                  </w:r>
                </w:p>
              </w:tc>
              <w:tc>
                <w:tcPr/>
                <w:p>
                  <w:pPr>
                    <w:pStyle w:val="Compact"/>
                    <w:jc w:val="center"/>
                  </w:pPr>
                  <w:r>
                    <w:t xml:space="preserve">0.12 (0.27)</w:t>
                  </w:r>
                </w:p>
              </w:tc>
            </w:tr>
            <w:tr>
              <w:tc>
                <w:tcPr/>
                <w:p>
                  <w:pPr>
                    <w:pStyle w:val="Compact"/>
                    <w:jc w:val="center"/>
                  </w:pPr>
                  <w:r>
                    <w:rPr>
                      <w:b/>
                      <w:bCs/>
                    </w:rPr>
                    <w:t xml:space="preserve">LH anomaly PC1</w:t>
                  </w:r>
                </w:p>
              </w:tc>
              <w:tc>
                <w:tcPr/>
                <w:p>
                  <w:pPr>
                    <w:pStyle w:val="Compact"/>
                    <w:jc w:val="center"/>
                  </w:pPr>
                  <w:r>
                    <w:t xml:space="preserve">0.64 (1.06)</w:t>
                  </w:r>
                </w:p>
              </w:tc>
              <w:tc>
                <w:tcPr/>
                <w:p>
                  <w:pPr>
                    <w:pStyle w:val="Compact"/>
                    <w:jc w:val="center"/>
                  </w:pPr>
                  <w:r>
                    <w:rPr>
                      <w:b/>
                      <w:bCs/>
                    </w:rPr>
                    <w:t xml:space="preserve">4.19 (1.72)**</w:t>
                  </w:r>
                </w:p>
              </w:tc>
              <w:tc>
                <w:tcPr/>
                <w:p>
                  <w:pPr>
                    <w:pStyle w:val="Compact"/>
                    <w:jc w:val="center"/>
                  </w:pPr>
                  <w:r>
                    <w:t xml:space="preserve">0.00 (0.00)</w:t>
                  </w:r>
                </w:p>
              </w:tc>
              <w:tc>
                <w:tcPr/>
                <w:p>
                  <w:pPr>
                    <w:pStyle w:val="Compact"/>
                    <w:jc w:val="center"/>
                  </w:pPr>
                  <w:r>
                    <w:rPr>
                      <w:b/>
                      <w:bCs/>
                    </w:rPr>
                    <w:t xml:space="preserve">2.50 (1.50)*</w:t>
                  </w:r>
                </w:p>
              </w:tc>
              <w:tc>
                <w:tcPr/>
                <w:p>
                  <w:pPr>
                    <w:pStyle w:val="Compact"/>
                    <w:jc w:val="center"/>
                  </w:pPr>
                  <w:r>
                    <w:t xml:space="preserve">0.00 (0.00)</w:t>
                  </w:r>
                </w:p>
              </w:tc>
              <w:tc>
                <w:tcPr/>
                <w:p>
                  <w:pPr>
                    <w:pStyle w:val="Compact"/>
                    <w:jc w:val="center"/>
                  </w:pPr>
                  <w:r>
                    <w:rPr>
                      <w:b/>
                      <w:bCs/>
                    </w:rPr>
                    <w:t xml:space="preserve">5.20 (1.84)**</w:t>
                  </w:r>
                </w:p>
              </w:tc>
            </w:tr>
            <w:tr>
              <w:tc>
                <w:tcPr/>
                <w:p>
                  <w:pPr>
                    <w:pStyle w:val="Compact"/>
                    <w:jc w:val="center"/>
                  </w:pPr>
                  <w:r>
                    <w:rPr>
                      <w:b/>
                      <w:bCs/>
                    </w:rPr>
                    <w:t xml:space="preserve">LH anomaly PC2</w:t>
                  </w:r>
                </w:p>
              </w:tc>
              <w:tc>
                <w:tcPr/>
                <w:p>
                  <w:pPr>
                    <w:pStyle w:val="Compact"/>
                    <w:jc w:val="center"/>
                  </w:pPr>
                  <w:r>
                    <w:t xml:space="preserve">0.86 (1.18)</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0.08 (0.20)</w:t>
                  </w:r>
                </w:p>
              </w:tc>
            </w:tr>
            <w:tr>
              <w:tc>
                <w:tcPr/>
                <w:p>
                  <w:pPr>
                    <w:pStyle w:val="Compact"/>
                    <w:jc w:val="center"/>
                  </w:pPr>
                  <w:r>
                    <w:rPr>
                      <w:b/>
                      <w:bCs/>
                    </w:rPr>
                    <w:t xml:space="preserve">LGM anomaly PC1</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1.05 (1.24)·</w:t>
                  </w:r>
                </w:p>
              </w:tc>
              <w:tc>
                <w:tcPr/>
                <w:p>
                  <w:pPr>
                    <w:pStyle w:val="Compact"/>
                    <w:jc w:val="center"/>
                  </w:pPr>
                  <w:r>
                    <w:t xml:space="preserve">0.00 (0.00)</w:t>
                  </w:r>
                </w:p>
              </w:tc>
              <w:tc>
                <w:tcPr/>
                <w:p>
                  <w:pPr>
                    <w:pStyle w:val="Compact"/>
                    <w:jc w:val="center"/>
                  </w:pPr>
                  <w:r>
                    <w:t xml:space="preserve">0.88 (1.07)·</w:t>
                  </w:r>
                </w:p>
              </w:tc>
              <w:tc>
                <w:tcPr/>
                <w:p>
                  <w:pPr>
                    <w:pStyle w:val="Compact"/>
                    <w:jc w:val="center"/>
                  </w:pPr>
                  <w:r>
                    <w:t xml:space="preserve">0.00 (0.00)</w:t>
                  </w:r>
                </w:p>
              </w:tc>
            </w:tr>
            <w:tr>
              <w:tc>
                <w:tcPr/>
                <w:p>
                  <w:pPr>
                    <w:pStyle w:val="Compact"/>
                    <w:jc w:val="center"/>
                  </w:pPr>
                  <w:r>
                    <w:rPr>
                      <w:b/>
                      <w:bCs/>
                    </w:rPr>
                    <w:t xml:space="preserve">LGM anomaly PC2</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0.00 (0.00)</w:t>
                  </w:r>
                </w:p>
              </w:tc>
              <w:tc>
                <w:tcPr/>
                <w:p>
                  <w:pPr>
                    <w:pStyle w:val="Compact"/>
                    <w:jc w:val="center"/>
                  </w:pPr>
                  <w:r>
                    <w:t xml:space="preserve">0.14 (0.30)</w:t>
                  </w:r>
                </w:p>
              </w:tc>
              <w:tc>
                <w:tcPr/>
                <w:p>
                  <w:pPr>
                    <w:pStyle w:val="Compact"/>
                    <w:jc w:val="center"/>
                  </w:pPr>
                  <w:r>
                    <w:t xml:space="preserve">0.00 (0.00)</w:t>
                  </w:r>
                </w:p>
              </w:tc>
            </w:tr>
          </w:tbl>
        </w:tc>
      </w:tr>
    </w:tbl>
    <w:bookmarkEnd w:id="52"/>
    <w:bookmarkEnd w:id="53"/>
    <w:bookmarkStart w:id="57" w:name="discussion"/>
    <w:p>
      <w:pPr>
        <w:pStyle w:val="Heading2"/>
      </w:pPr>
      <w:r>
        <w:t xml:space="preserve">DISCUSSION</w:t>
      </w:r>
    </w:p>
    <w:p>
      <w:pPr>
        <w:pStyle w:val="FirstParagraph"/>
      </w:pPr>
      <w:r>
        <w:t xml:space="preserve">Our study reveals that the functional trait spaces of palms and mammalian frugivores exhibit distinct geographic and climatic patterns across the Neotropics, and therefore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54"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historical environmental effects that may be still detectable (i.e. historical legacies)</w:t>
      </w:r>
      <w:r>
        <w:t xml:space="preserve"> </w:t>
      </w:r>
      <w:r>
        <w:t xml:space="preserve">(Wiens and Donoghue 2004)</w:t>
      </w:r>
      <w:r>
        <w:t xml:space="preserve">. Palm FRic was related to current climate, whereas palm FDis varied less, suggesting that climate changes the volume of palm trait space more than the spacing of species within it. However, the strong improvement in the palm FDis model after accounting for spatial structure indicates that broad geographic patterns explain variation not captured by climate alone. This may reflect the persistence of similar ecological strategies despite taxonomic turnover, as reported for Neotropical tree species pools</w:t>
      </w:r>
      <w:r>
        <w:t xml:space="preserve"> </w:t>
      </w:r>
      <w:r>
        <w:t xml:space="preserve">(Pinho et al. 2021)</w:t>
      </w:r>
      <w:r>
        <w:t xml:space="preserve">, as well as the effects of biogeographic history and dispersal constraints</w:t>
      </w:r>
      <w:r>
        <w:t xml:space="preserve"> </w:t>
      </w:r>
      <w:r>
        <w:t xml:space="preserve">(Ackerly 2003; Wiens and Donoghue 2004)</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The absence of improvement after accounting for spatial structure further indicates that geographic variation in mammal FDis was already well represented by climate. In contrast, the improved spatial model for mammal FRic suggests an additional role for biogeographic history and dispersal constraints</w:t>
      </w:r>
      <w:r>
        <w:t xml:space="preserve"> </w:t>
      </w:r>
      <w:r>
        <w:t xml:space="preserve">(Ackerly 2003; Wiens and Donoghue 2004)</w:t>
      </w:r>
      <w:r>
        <w:t xml:space="preserve">. For instance,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FRic-FTA, even where palm or mammal FRic responded, possibly because changes in one trophic level were offset by changes in the other. In contrast, climate explained substantial variation in FDis-FTA,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bookmarkEnd w:id="54"/>
    <w:bookmarkStart w:id="55"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FTA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our FTA framework can generate spatial and temporal hypothesis for where current and historical environmental filtering may influence multitrophic network assembly, and thus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FTA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FTA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FTA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55"/>
    <w:bookmarkStart w:id="56" w:name="X7fb303ec2ba6a79a1cd1823815d711b48d90935"/>
    <w:p>
      <w:pPr>
        <w:pStyle w:val="Heading3"/>
      </w:pPr>
      <w:r>
        <w:t xml:space="preserve">FTA as a multitrophic indicator of ecological processes and their response to global changes</w:t>
      </w:r>
    </w:p>
    <w:p>
      <w:pPr>
        <w:pStyle w:val="FirstParagraph"/>
      </w:pPr>
      <w:r>
        <w:t xml:space="preserve">FRic and FDis capture different components of assemblage structure and may therefore respond to different processes. Historical conditions can influence FDis,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56"/>
    <w:bookmarkEnd w:id="57"/>
    <w:bookmarkStart w:id="58" w:name="conclusion"/>
    <w:p>
      <w:pPr>
        <w:pStyle w:val="Heading2"/>
      </w:pPr>
      <w:r>
        <w:t xml:space="preserve">CONCLUSION</w:t>
      </w:r>
    </w:p>
    <w:p>
      <w:pPr>
        <w:pStyle w:val="FirstParagraph"/>
      </w:pPr>
      <w:r>
        <w:t xml:space="preserve">At the coarse geographic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58"/>
    <w:bookmarkStart w:id="95" w:name="supplementary-material"/>
    <w:p>
      <w:pPr>
        <w:pStyle w:val="Heading2"/>
      </w:pPr>
      <w:r>
        <w:t xml:space="preserve">SUPPLEMENTARY MATERIAL</w:t>
      </w:r>
    </w:p>
    <w:bookmarkStart w:id="62"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6975230"/>
            <wp:effectExtent b="0" l="0" r="0" t="0"/>
            <wp:docPr descr="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 title="" id="60" name="Picture"/>
            <a:graphic>
              <a:graphicData uri="http://schemas.openxmlformats.org/drawingml/2006/picture">
                <pic:pic>
                  <pic:nvPicPr>
                    <pic:cNvPr descr="images/clipboard-1981784361.png" id="61" name="Picture"/>
                    <pic:cNvPicPr>
                      <a:picLocks noChangeArrowheads="1" noChangeAspect="1"/>
                    </pic:cNvPicPr>
                  </pic:nvPicPr>
                  <pic:blipFill>
                    <a:blip r:embed="rId59"/>
                    <a:stretch>
                      <a:fillRect/>
                    </a:stretch>
                  </pic:blipFill>
                  <pic:spPr bwMode="auto">
                    <a:xfrm>
                      <a:off x="0" y="0"/>
                      <a:ext cx="5334000" cy="6975230"/>
                    </a:xfrm>
                    <a:prstGeom prst="rect">
                      <a:avLst/>
                    </a:prstGeom>
                    <a:noFill/>
                    <a:ln w="9525">
                      <a:noFill/>
                      <a:headEnd/>
                      <a:tailEnd/>
                    </a:ln>
                  </pic:spPr>
                </pic:pic>
              </a:graphicData>
            </a:graphic>
          </wp:inline>
        </w:drawing>
      </w:r>
    </w:p>
    <w:p>
      <w:pPr>
        <w:pStyle w:val="ImageCaption"/>
      </w:pPr>
      <w:r>
        <w:t xml:space="preserve">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w:t>
      </w:r>
    </w:p>
    <w:bookmarkEnd w:id="62"/>
    <w:bookmarkStart w:id="66"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 title="" id="64" name="Picture"/>
            <a:graphic>
              <a:graphicData uri="http://schemas.openxmlformats.org/drawingml/2006/picture">
                <pic:pic>
                  <pic:nvPicPr>
                    <pic:cNvPr descr="images/clipboard-676160418.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FRic (FRic) and FDis (FDis).</w:t>
      </w:r>
    </w:p>
    <w:bookmarkEnd w:id="66"/>
    <w:bookmarkStart w:id="70"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68" name="Picture"/>
            <a:graphic>
              <a:graphicData uri="http://schemas.openxmlformats.org/drawingml/2006/picture">
                <pic:pic>
                  <pic:nvPicPr>
                    <pic:cNvPr descr="images/clipboard-1614616575.png" id="69" name="Picture"/>
                    <pic:cNvPicPr>
                      <a:picLocks noChangeArrowheads="1" noChangeAspect="1"/>
                    </pic:cNvPicPr>
                  </pic:nvPicPr>
                  <pic:blipFill>
                    <a:blip r:embed="rId67"/>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0"/>
    <w:bookmarkStart w:id="74"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2" name="Picture"/>
            <a:graphic>
              <a:graphicData uri="http://schemas.openxmlformats.org/drawingml/2006/picture">
                <pic:pic>
                  <pic:nvPicPr>
                    <pic:cNvPr descr="images/clipboard-496155942.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74"/>
    <w:bookmarkStart w:id="78" w:name="Xea1d9ed6f8a8175b0752fdb51705d2d2006b4db"/>
    <w:p>
      <w:pPr>
        <w:pStyle w:val="Heading4"/>
      </w:pPr>
      <w:r>
        <w:t xml:space="preserve">Figure S5. Contemporary and past climatic associations with present-day palm and mammal functional diversity</w:t>
      </w:r>
    </w:p>
    <w:p>
      <w:pPr>
        <w:pStyle w:val="CaptionedFigure"/>
      </w:pPr>
      <w:r>
        <w:drawing>
          <wp:inline>
            <wp:extent cx="5334000" cy="3154680"/>
            <wp:effectExtent b="0" l="0" r="0" t="0"/>
            <wp:docPr descr="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 title="" id="76" name="Picture"/>
            <a:graphic>
              <a:graphicData uri="http://schemas.openxmlformats.org/drawingml/2006/picture">
                <pic:pic>
                  <pic:nvPicPr>
                    <pic:cNvPr descr="images/clipboard-3478308522.png" id="77" name="Picture"/>
                    <pic:cNvPicPr>
                      <a:picLocks noChangeArrowheads="1" noChangeAspect="1"/>
                    </pic:cNvPicPr>
                  </pic:nvPicPr>
                  <pic:blipFill>
                    <a:blip r:embed="rId75"/>
                    <a:stretch>
                      <a:fillRect/>
                    </a:stretch>
                  </pic:blipFill>
                  <pic:spPr bwMode="auto">
                    <a:xfrm>
                      <a:off x="0" y="0"/>
                      <a:ext cx="5334000" cy="3154680"/>
                    </a:xfrm>
                    <a:prstGeom prst="rect">
                      <a:avLst/>
                    </a:prstGeom>
                    <a:noFill/>
                    <a:ln w="9525">
                      <a:noFill/>
                      <a:headEnd/>
                      <a:tailEnd/>
                    </a:ln>
                  </pic:spPr>
                </pic:pic>
              </a:graphicData>
            </a:graphic>
          </wp:inline>
        </w:drawing>
      </w:r>
    </w:p>
    <w:p>
      <w:pPr>
        <w:pStyle w:val="ImageCaption"/>
      </w:pPr>
      <w:r>
        <w:t xml:space="preserve">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FRic (FRic; A–F) and FDis (FDis; G–L). Lines show fitted smooths for palms (orange) and mammals (blue), shaded areas represent 95% confidence intervals, and horizontal dashed lines denote an effect of zero.</w:t>
      </w:r>
    </w:p>
    <w:bookmarkEnd w:id="78"/>
    <w:bookmarkStart w:id="82" w:name="X91243d3cd33de7206183b217636db7ffe0d0fc6"/>
    <w:p>
      <w:pPr>
        <w:pStyle w:val="Heading4"/>
      </w:pPr>
      <w:r>
        <w:t xml:space="preserve">Figure S6. Associations of contemporary and past climatic gradients with present-day FTA.</w:t>
      </w:r>
    </w:p>
    <w:p>
      <w:pPr>
        <w:pStyle w:val="CaptionedFigure"/>
      </w:pPr>
      <w:r>
        <w:drawing>
          <wp:inline>
            <wp:extent cx="5334000" cy="4449440"/>
            <wp:effectExtent b="0" l="0" r="0" t="0"/>
            <wp:docPr descr="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 title="" id="80" name="Picture"/>
            <a:graphic>
              <a:graphicData uri="http://schemas.openxmlformats.org/drawingml/2006/picture">
                <pic:pic>
                  <pic:nvPicPr>
                    <pic:cNvPr descr="images/clipboard-4156480202.png" id="81" name="Picture"/>
                    <pic:cNvPicPr>
                      <a:picLocks noChangeArrowheads="1" noChangeAspect="1"/>
                    </pic:cNvPicPr>
                  </pic:nvPicPr>
                  <pic:blipFill>
                    <a:blip r:embed="rId79"/>
                    <a:stretch>
                      <a:fillRect/>
                    </a:stretch>
                  </pic:blipFill>
                  <pic:spPr bwMode="auto">
                    <a:xfrm>
                      <a:off x="0" y="0"/>
                      <a:ext cx="5334000" cy="4449440"/>
                    </a:xfrm>
                    <a:prstGeom prst="rect">
                      <a:avLst/>
                    </a:prstGeom>
                    <a:noFill/>
                    <a:ln w="9525">
                      <a:noFill/>
                      <a:headEnd/>
                      <a:tailEnd/>
                    </a:ln>
                  </pic:spPr>
                </pic:pic>
              </a:graphicData>
            </a:graphic>
          </wp:inline>
        </w:drawing>
      </w:r>
    </w:p>
    <w:p>
      <w:pPr>
        <w:pStyle w:val="ImageCaption"/>
      </w:pPr>
      <w:r>
        <w:t xml:space="preserve">Figure S6. Associations of contemporary and past climatic gradients with present-day FTA. Generalized additive model smooths showing the effects of climatic PC1 and PC2 under current (A and B), late-Holocene (C and D), and Last Glacial Maximum conditions (E and F) on FTA (FTA) based on FRic and FDis. Lines show fitted smooths, shaded areas represent 95% confidence intervals, and horizontal dashed lines denote an effect of zero.</w:t>
      </w:r>
    </w:p>
    <w:bookmarkEnd w:id="82"/>
    <w:bookmarkStart w:id="86" w:name="Xa647f5bd5f74485976424ac498e68cd1e6db735"/>
    <w:p>
      <w:pPr>
        <w:pStyle w:val="Heading4"/>
      </w:pPr>
      <w:r>
        <w:t xml:space="preserve">Figure S7. Diagnostic plots for the generalized additive model (FR).</w:t>
      </w:r>
    </w:p>
    <w:p>
      <w:pPr>
        <w:pStyle w:val="CaptionedFigure"/>
      </w:pPr>
      <w:r>
        <w:drawing>
          <wp:inline>
            <wp:extent cx="5334000" cy="5867400"/>
            <wp:effectExtent b="0" l="0" r="0" t="0"/>
            <wp:docPr descr="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 title="" id="84" name="Picture"/>
            <a:graphic>
              <a:graphicData uri="http://schemas.openxmlformats.org/drawingml/2006/picture">
                <pic:pic>
                  <pic:nvPicPr>
                    <pic:cNvPr descr="images/clipboard-3691456438.png" id="85" name="Picture"/>
                    <pic:cNvPicPr>
                      <a:picLocks noChangeArrowheads="1" noChangeAspect="1"/>
                    </pic:cNvPicPr>
                  </pic:nvPicPr>
                  <pic:blipFill>
                    <a:blip r:embed="rId83"/>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S7. Diagnostic plots for generalized additive models of FRic. Normal Q–Q plots and standardized Pearson residuals versus fitted values for palm and mammal FRic and richness-based FTA (FTA) under current, late-Holocene, and Last Glacial Maximum climate models. Dashed orange lines denote the theoretical normal relationship in Q–Q plots; blue lines show loess trends in residuals.</w:t>
      </w:r>
    </w:p>
    <w:bookmarkEnd w:id="86"/>
    <w:bookmarkStart w:id="90" w:name="Xd1b267cd9a333da69639a7176bc3e20bffaa48f"/>
    <w:p>
      <w:pPr>
        <w:pStyle w:val="Heading4"/>
      </w:pPr>
      <w:r>
        <w:t xml:space="preserve">Figure S8. Diagnostic plots for the generalized additive model (FDis).</w:t>
      </w:r>
    </w:p>
    <w:p>
      <w:pPr>
        <w:pStyle w:val="CaptionedFigure"/>
      </w:pPr>
      <w:r>
        <w:drawing>
          <wp:inline>
            <wp:extent cx="5334000" cy="5867400"/>
            <wp:effectExtent b="0" l="0" r="0" t="0"/>
            <wp:docPr descr="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 title="" id="88" name="Picture"/>
            <a:graphic>
              <a:graphicData uri="http://schemas.openxmlformats.org/drawingml/2006/picture">
                <pic:pic>
                  <pic:nvPicPr>
                    <pic:cNvPr descr="images/clipboard-1603446708.png" id="89" name="Picture"/>
                    <pic:cNvPicPr>
                      <a:picLocks noChangeArrowheads="1" noChangeAspect="1"/>
                    </pic:cNvPicPr>
                  </pic:nvPicPr>
                  <pic:blipFill>
                    <a:blip r:embed="rId87"/>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S8. Diagnostic plots for generalized additive models of FDis. Normal Q–Q plots and standardized Pearson residuals versus fitted values for palm and mammal FDis and FDis-based FTA (FTA) under current, late-Holocene, and Last Glacial Maximum climate models. Dashed orange lines denote the theoretical normal relationship in Q–Q plots; blue lines show loess trends in residuals.</w:t>
      </w:r>
    </w:p>
    <w:bookmarkEnd w:id="90"/>
    <w:bookmarkStart w:id="94" w:name="X4f4d890c6453139f199c050e3ae258f8aeb704b"/>
    <w:p>
      <w:pPr>
        <w:pStyle w:val="Heading4"/>
      </w:pPr>
      <w:r>
        <w:t xml:space="preserve">Figure S9: Improvement in model fit after accounting for spatial structure.</w:t>
      </w:r>
    </w:p>
    <w:p>
      <w:pPr>
        <w:pStyle w:val="CaptionedFigure"/>
      </w:pPr>
      <w:r>
        <w:drawing>
          <wp:inline>
            <wp:extent cx="5334000" cy="2332317"/>
            <wp:effectExtent b="0" l="0" r="0" t="0"/>
            <wp:docPr descr="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 title="" id="92" name="Picture"/>
            <a:graphic>
              <a:graphicData uri="http://schemas.openxmlformats.org/drawingml/2006/picture">
                <pic:pic>
                  <pic:nvPicPr>
                    <pic:cNvPr descr="images/clipboard-1582410177.png" id="93" name="Picture"/>
                    <pic:cNvPicPr>
                      <a:picLocks noChangeArrowheads="1" noChangeAspect="1"/>
                    </pic:cNvPicPr>
                  </pic:nvPicPr>
                  <pic:blipFill>
                    <a:blip r:embed="rId91"/>
                    <a:stretch>
                      <a:fillRect/>
                    </a:stretch>
                  </pic:blipFill>
                  <pic:spPr bwMode="auto">
                    <a:xfrm>
                      <a:off x="0" y="0"/>
                      <a:ext cx="5334000" cy="2332317"/>
                    </a:xfrm>
                    <a:prstGeom prst="rect">
                      <a:avLst/>
                    </a:prstGeom>
                    <a:noFill/>
                    <a:ln w="9525">
                      <a:noFill/>
                      <a:headEnd/>
                      <a:tailEnd/>
                    </a:ln>
                  </pic:spPr>
                </pic:pic>
              </a:graphicData>
            </a:graphic>
          </wp:inline>
        </w:drawing>
      </w:r>
    </w:p>
    <w:p>
      <w:pPr>
        <w:pStyle w:val="ImageCaption"/>
      </w:pPr>
      <w:r>
        <w:t xml:space="preserve">Figure S9. Comparison of climate-only and spatial climatic models. AIC values for models containing climatic predictors only and models additionally containing a spatial smooth for palm and mammal FRic and FDis and functional trait asymmetry (FTA). ΔAIC represents the reduction in AIC after spatial structure was included; larger positive values indicate greater support for the climate-plus-space model.</w:t>
      </w:r>
    </w:p>
    <w:bookmarkEnd w:id="94"/>
    <w:bookmarkEnd w:id="95"/>
    <w:bookmarkStart w:id="224" w:name="references"/>
    <w:p>
      <w:pPr>
        <w:pStyle w:val="Heading2"/>
      </w:pPr>
      <w:r>
        <w:t xml:space="preserve">REFERENCES</w:t>
      </w:r>
    </w:p>
    <w:bookmarkStart w:id="223" w:name="refs"/>
    <w:bookmarkStart w:id="96"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96"/>
    <w:bookmarkStart w:id="97"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97"/>
    <w:bookmarkStart w:id="98"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98"/>
    <w:bookmarkStart w:id="99"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99"/>
    <w:bookmarkStart w:id="100"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0"/>
    <w:bookmarkStart w:id="101"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1"/>
    <w:bookmarkStart w:id="102"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2"/>
    <w:bookmarkStart w:id="103" w:name="ref-Banville2024"/>
    <w:p>
      <w:pPr>
        <w:pStyle w:val="Bibliography"/>
      </w:pPr>
      <w:r>
        <w:t xml:space="preserve">Banville, F., Blyth Strydom T., G., others, and T and Poisot. 2024.</w:t>
      </w:r>
      <w:r>
        <w:t xml:space="preserve"> </w:t>
      </w:r>
      <w:r>
        <w:t xml:space="preserve">“Deciphering Probabilistic Species Interaction Networks.”</w:t>
      </w:r>
    </w:p>
    <w:bookmarkEnd w:id="103"/>
    <w:bookmarkStart w:id="104"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04"/>
    <w:bookmarkStart w:id="105"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05"/>
    <w:bookmarkStart w:id="106"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06"/>
    <w:bookmarkStart w:id="107"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07"/>
    <w:bookmarkStart w:id="108"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08"/>
    <w:bookmarkStart w:id="109"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09"/>
    <w:bookmarkStart w:id="110"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0"/>
    <w:bookmarkStart w:id="111"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1"/>
    <w:bookmarkStart w:id="112"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2"/>
    <w:bookmarkStart w:id="113"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3"/>
    <w:bookmarkStart w:id="115"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14">
        <w:r>
          <w:rPr>
            <w:rStyle w:val="Hyperlink"/>
          </w:rPr>
          <w:t xml:space="preserve">https://doi.org/10.1038/sdata.2018.254</w:t>
        </w:r>
      </w:hyperlink>
      <w:r>
        <w:t xml:space="preserve">.</w:t>
      </w:r>
    </w:p>
    <w:bookmarkEnd w:id="115"/>
    <w:bookmarkStart w:id="117"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16">
        <w:r>
          <w:rPr>
            <w:rStyle w:val="Hyperlink"/>
          </w:rPr>
          <w:t xml:space="preserve">https://doi.org/10.1111/ele.13640</w:t>
        </w:r>
      </w:hyperlink>
      <w:r>
        <w:t xml:space="preserve">.</w:t>
      </w:r>
    </w:p>
    <w:bookmarkEnd w:id="117"/>
    <w:bookmarkStart w:id="118"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18"/>
    <w:bookmarkStart w:id="119"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19"/>
    <w:bookmarkStart w:id="120"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0"/>
    <w:bookmarkStart w:id="122"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1">
        <w:r>
          <w:rPr>
            <w:rStyle w:val="Hyperlink"/>
          </w:rPr>
          <w:t xml:space="preserve">https://doi.org/10.1111/geb.13667</w:t>
        </w:r>
      </w:hyperlink>
      <w:r>
        <w:t xml:space="preserve">.</w:t>
      </w:r>
    </w:p>
    <w:bookmarkEnd w:id="122"/>
    <w:bookmarkStart w:id="124"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3">
        <w:r>
          <w:rPr>
            <w:rStyle w:val="Hyperlink"/>
          </w:rPr>
          <w:t xml:space="preserve">https://doi.org/10.1098/rstb.2011.0058</w:t>
        </w:r>
      </w:hyperlink>
      <w:r>
        <w:t xml:space="preserve">.</w:t>
      </w:r>
    </w:p>
    <w:bookmarkEnd w:id="124"/>
    <w:bookmarkStart w:id="125" w:name="ref-de2021towards"/>
    <w:p>
      <w:pPr>
        <w:pStyle w:val="Bibliography"/>
      </w:pPr>
      <w:r>
        <w:t xml:space="preserve">De Bello, Francesco, Zoltán Botta-Dukát, Jan Lepš, and Pavel Fibich. 2021.</w:t>
      </w:r>
      <w:r>
        <w:t xml:space="preserve"> </w:t>
      </w:r>
      <w:r>
        <w:t xml:space="preserve">“Towards a More Balanced Combination of Multiple Traits When Computing Functional Differences Between Species.”</w:t>
      </w:r>
      <w:r>
        <w:t xml:space="preserve"> </w:t>
      </w:r>
      <w:r>
        <w:rPr>
          <w:i/>
          <w:iCs/>
        </w:rPr>
        <w:t xml:space="preserve">Methods in Ecology and Evolution</w:t>
      </w:r>
      <w:r>
        <w:t xml:space="preserve"> </w:t>
      </w:r>
      <w:r>
        <w:t xml:space="preserve">12 (3): 443–48.</w:t>
      </w:r>
    </w:p>
    <w:bookmarkEnd w:id="125"/>
    <w:bookmarkStart w:id="127"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26">
        <w:r>
          <w:rPr>
            <w:rStyle w:val="Hyperlink"/>
          </w:rPr>
          <w:t xml:space="preserve">https://doi.org/10.1098/rspb.2015.2444</w:t>
        </w:r>
      </w:hyperlink>
      <w:r>
        <w:t xml:space="preserve">.</w:t>
      </w:r>
    </w:p>
    <w:bookmarkEnd w:id="127"/>
    <w:bookmarkStart w:id="128"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28"/>
    <w:bookmarkStart w:id="129"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29"/>
    <w:bookmarkStart w:id="130"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0"/>
    <w:bookmarkStart w:id="131"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1"/>
    <w:bookmarkStart w:id="132"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2"/>
    <w:bookmarkStart w:id="133"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3"/>
    <w:bookmarkStart w:id="135"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4">
        <w:r>
          <w:rPr>
            <w:rStyle w:val="Hyperlink"/>
          </w:rPr>
          <w:t xml:space="preserve">https://doi.org/10.1371/journal.pone.0128264</w:t>
        </w:r>
      </w:hyperlink>
      <w:r>
        <w:t xml:space="preserve">.</w:t>
      </w:r>
    </w:p>
    <w:bookmarkEnd w:id="135"/>
    <w:bookmarkStart w:id="136"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36"/>
    <w:bookmarkStart w:id="137"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37"/>
    <w:bookmarkStart w:id="138"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38"/>
    <w:bookmarkStart w:id="139"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39"/>
    <w:bookmarkStart w:id="140"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0"/>
    <w:bookmarkStart w:id="142"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1">
        <w:r>
          <w:rPr>
            <w:rStyle w:val="Hyperlink"/>
          </w:rPr>
          <w:t xml:space="preserve">https://doi.org/10.1111/1365-2664.14309</w:t>
        </w:r>
      </w:hyperlink>
      <w:r>
        <w:t xml:space="preserve">.</w:t>
      </w:r>
    </w:p>
    <w:bookmarkEnd w:id="142"/>
    <w:bookmarkStart w:id="144"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3">
        <w:r>
          <w:rPr>
            <w:rStyle w:val="Hyperlink"/>
          </w:rPr>
          <w:t xml:space="preserve">https://doi.org/10.1002/eap.2731</w:t>
        </w:r>
      </w:hyperlink>
      <w:r>
        <w:t xml:space="preserve">.</w:t>
      </w:r>
    </w:p>
    <w:bookmarkEnd w:id="144"/>
    <w:bookmarkStart w:id="145"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45"/>
    <w:bookmarkStart w:id="146"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46"/>
    <w:bookmarkStart w:id="147"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47"/>
    <w:bookmarkStart w:id="148"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48"/>
    <w:bookmarkStart w:id="149"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49"/>
    <w:bookmarkStart w:id="151"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0">
        <w:r>
          <w:rPr>
            <w:rStyle w:val="Hyperlink"/>
          </w:rPr>
          <w:t xml:space="preserve">https://doi.org/10.1126/science.1130880</w:t>
        </w:r>
      </w:hyperlink>
      <w:r>
        <w:t xml:space="preserve">.</w:t>
      </w:r>
    </w:p>
    <w:bookmarkEnd w:id="151"/>
    <w:bookmarkStart w:id="152"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2"/>
    <w:bookmarkStart w:id="154"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3">
        <w:r>
          <w:rPr>
            <w:rStyle w:val="Hyperlink"/>
          </w:rPr>
          <w:t xml:space="preserve">https://doi.org/10.1038/s41597-019-0174-2</w:t>
        </w:r>
      </w:hyperlink>
      <w:r>
        <w:t xml:space="preserve">.</w:t>
      </w:r>
    </w:p>
    <w:bookmarkEnd w:id="154"/>
    <w:bookmarkStart w:id="155"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55"/>
    <w:bookmarkStart w:id="156"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56"/>
    <w:bookmarkStart w:id="157"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57"/>
    <w:bookmarkStart w:id="158"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58"/>
    <w:bookmarkStart w:id="159"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59"/>
    <w:bookmarkStart w:id="160"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0"/>
    <w:bookmarkStart w:id="161"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1"/>
    <w:bookmarkStart w:id="162" w:name="ref-Legendre2018"/>
    <w:p>
      <w:pPr>
        <w:pStyle w:val="Bibliography"/>
      </w:pPr>
      <w:r>
        <w:t xml:space="preserve">Legendre, P., and D. Borcard. 2018.</w:t>
      </w:r>
      <w:r>
        <w:t xml:space="preserve"> </w:t>
      </w:r>
      <w:r>
        <w:t xml:space="preserve">“Box–Cox–Chord Transformations for Community Composition Data Prior to Beta Diversity Analysis.”</w:t>
      </w:r>
      <w:r>
        <w:t xml:space="preserve"> </w:t>
      </w:r>
      <w:r>
        <w:rPr>
          <w:i/>
          <w:iCs/>
        </w:rPr>
        <w:t xml:space="preserve">Ecography</w:t>
      </w:r>
      <w:r>
        <w:t xml:space="preserve"> </w:t>
      </w:r>
      <w:r>
        <w:t xml:space="preserve">41: 1820–24.</w:t>
      </w:r>
    </w:p>
    <w:bookmarkEnd w:id="162"/>
    <w:bookmarkStart w:id="164"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3">
        <w:r>
          <w:rPr>
            <w:rStyle w:val="Hyperlink"/>
          </w:rPr>
          <w:t xml:space="preserve">https://doi.org/10.1111/geb.13436</w:t>
        </w:r>
      </w:hyperlink>
      <w:r>
        <w:t xml:space="preserve">.</w:t>
      </w:r>
    </w:p>
    <w:bookmarkEnd w:id="164"/>
    <w:bookmarkStart w:id="165"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5"/>
    <w:bookmarkStart w:id="166"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66"/>
    <w:bookmarkStart w:id="167"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67"/>
    <w:bookmarkStart w:id="168"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68"/>
    <w:bookmarkStart w:id="169"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69"/>
    <w:bookmarkStart w:id="170"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0"/>
    <w:bookmarkStart w:id="171"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1"/>
    <w:bookmarkStart w:id="172"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2"/>
    <w:bookmarkStart w:id="174"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3">
        <w:r>
          <w:rPr>
            <w:rStyle w:val="Hyperlink"/>
          </w:rPr>
          <w:t xml:space="preserve">https://doi.org/10.1038/s41467-019-12995-9</w:t>
        </w:r>
      </w:hyperlink>
      <w:r>
        <w:t xml:space="preserve">.</w:t>
      </w:r>
    </w:p>
    <w:bookmarkEnd w:id="174"/>
    <w:bookmarkStart w:id="175"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5"/>
    <w:bookmarkStart w:id="176"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76"/>
    <w:bookmarkStart w:id="177"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77"/>
    <w:bookmarkStart w:id="178"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78"/>
    <w:bookmarkStart w:id="179"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79"/>
    <w:bookmarkStart w:id="181"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0">
        <w:r>
          <w:rPr>
            <w:rStyle w:val="Hyperlink"/>
          </w:rPr>
          <w:t xml:space="preserve">https://doi.org/10.1111/gcb.16334</w:t>
        </w:r>
      </w:hyperlink>
      <w:r>
        <w:t xml:space="preserve">.</w:t>
      </w:r>
    </w:p>
    <w:bookmarkEnd w:id="181"/>
    <w:bookmarkStart w:id="183"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2">
        <w:r>
          <w:rPr>
            <w:rStyle w:val="Hyperlink"/>
          </w:rPr>
          <w:t xml:space="preserve">https://doi.org/10.1111/geb.12471</w:t>
        </w:r>
      </w:hyperlink>
      <w:r>
        <w:t xml:space="preserve">.</w:t>
      </w:r>
    </w:p>
    <w:bookmarkEnd w:id="183"/>
    <w:bookmarkStart w:id="184"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4"/>
    <w:bookmarkStart w:id="185"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5"/>
    <w:bookmarkStart w:id="186"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86"/>
    <w:bookmarkStart w:id="187"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87"/>
    <w:bookmarkStart w:id="189"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88">
        <w:r>
          <w:rPr>
            <w:rStyle w:val="Hyperlink"/>
          </w:rPr>
          <w:t xml:space="preserve">https://doi.org/10.1111/geb.13309</w:t>
        </w:r>
      </w:hyperlink>
      <w:r>
        <w:t xml:space="preserve">.</w:t>
      </w:r>
    </w:p>
    <w:bookmarkEnd w:id="189"/>
    <w:bookmarkStart w:id="190"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0"/>
    <w:bookmarkStart w:id="191"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1"/>
    <w:bookmarkStart w:id="193"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2">
        <w:r>
          <w:rPr>
            <w:rStyle w:val="Hyperlink"/>
          </w:rPr>
          <w:t xml:space="preserve">https://doi.org/10.1126/science.235.4785.167</w:t>
        </w:r>
      </w:hyperlink>
      <w:r>
        <w:t xml:space="preserve">.</w:t>
      </w:r>
    </w:p>
    <w:bookmarkEnd w:id="193"/>
    <w:bookmarkStart w:id="194"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4"/>
    <w:bookmarkStart w:id="196"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5">
        <w:r>
          <w:rPr>
            <w:rStyle w:val="Hyperlink"/>
          </w:rPr>
          <w:t xml:space="preserve">https://doi.org/10.1073/pnas.1910489116</w:t>
        </w:r>
      </w:hyperlink>
      <w:r>
        <w:t xml:space="preserve">.</w:t>
      </w:r>
    </w:p>
    <w:bookmarkEnd w:id="196"/>
    <w:bookmarkStart w:id="197"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197"/>
    <w:bookmarkStart w:id="198"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198"/>
    <w:bookmarkStart w:id="199"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199"/>
    <w:bookmarkStart w:id="201"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0">
        <w:r>
          <w:rPr>
            <w:rStyle w:val="Hyperlink"/>
          </w:rPr>
          <w:t xml:space="preserve">https://doi.org/10.1111/ecog.02118</w:t>
        </w:r>
      </w:hyperlink>
      <w:r>
        <w:t xml:space="preserve">.</w:t>
      </w:r>
    </w:p>
    <w:bookmarkEnd w:id="201"/>
    <w:bookmarkStart w:id="202"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2"/>
    <w:bookmarkStart w:id="203"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3"/>
    <w:bookmarkStart w:id="204"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4"/>
    <w:bookmarkStart w:id="206"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6"/>
    <w:bookmarkStart w:id="207"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5">
        <w:r>
          <w:rPr>
            <w:rStyle w:val="Hyperlink"/>
          </w:rPr>
          <w:t xml:space="preserve">https://doi.org/10.1146/annurev-ecolsys-112414-054314</w:t>
        </w:r>
      </w:hyperlink>
      <w:r>
        <w:t xml:space="preserve">.</w:t>
      </w:r>
    </w:p>
    <w:bookmarkEnd w:id="207"/>
    <w:bookmarkStart w:id="208"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08"/>
    <w:bookmarkStart w:id="209"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09"/>
    <w:bookmarkStart w:id="211"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0">
        <w:r>
          <w:rPr>
            <w:rStyle w:val="Hyperlink"/>
          </w:rPr>
          <w:t xml:space="preserve">https://doi.org/10.1016/j.biocon.2018.05.022</w:t>
        </w:r>
      </w:hyperlink>
      <w:r>
        <w:t xml:space="preserve">.</w:t>
      </w:r>
    </w:p>
    <w:bookmarkEnd w:id="211"/>
    <w:bookmarkStart w:id="212"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2"/>
    <w:bookmarkStart w:id="213"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3"/>
    <w:bookmarkStart w:id="214"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4"/>
    <w:bookmarkStart w:id="216"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5">
        <w:r>
          <w:rPr>
            <w:rStyle w:val="Hyperlink"/>
          </w:rPr>
          <w:t xml:space="preserve">https://doi.org/10.1016/j.tree.2004.09.011</w:t>
        </w:r>
      </w:hyperlink>
      <w:r>
        <w:t xml:space="preserve">.</w:t>
      </w:r>
    </w:p>
    <w:bookmarkEnd w:id="216"/>
    <w:bookmarkStart w:id="218"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17">
        <w:r>
          <w:rPr>
            <w:rStyle w:val="Hyperlink"/>
          </w:rPr>
          <w:t xml:space="preserve">https://doi.org/10.1890/13-1917.1</w:t>
        </w:r>
      </w:hyperlink>
      <w:r>
        <w:t xml:space="preserve">.</w:t>
      </w:r>
    </w:p>
    <w:bookmarkEnd w:id="218"/>
    <w:bookmarkStart w:id="220"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19">
        <w:r>
          <w:rPr>
            <w:rStyle w:val="Hyperlink"/>
          </w:rPr>
          <w:t xml:space="preserve">https://doi.org/10.1201/9781315370279</w:t>
        </w:r>
      </w:hyperlink>
      <w:r>
        <w:t xml:space="preserve">.</w:t>
      </w:r>
    </w:p>
    <w:bookmarkEnd w:id="220"/>
    <w:bookmarkStart w:id="221"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1"/>
    <w:bookmarkStart w:id="222"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2"/>
    <w:bookmarkEnd w:id="223"/>
    <w:bookmarkEnd w:id="224"/>
    <w:bookmarkStart w:id="226" w:name="revision-history"/>
    <w:p>
      <w:pPr>
        <w:pStyle w:val="Heading2"/>
      </w:pPr>
      <w:r>
        <w:t xml:space="preserve">REVISION HISTORY</w:t>
      </w:r>
    </w:p>
    <w:bookmarkStart w:id="225" w:name="Xadfb725e20d9bc4782eec412c1a9225179cfcfc"/>
    <w:p>
      <w:pPr>
        <w:pStyle w:val="Heading4"/>
      </w:pPr>
      <w:r>
        <w:t xml:space="preserve">Ecological Monographs (25-26) - Editorial Rejection</w:t>
      </w:r>
    </w:p>
    <w:p>
      <w:pPr>
        <w:pStyle w:val="BlockText"/>
      </w:pPr>
      <w:r>
        <w:t xml:space="preserve">FTA definition: FTA is central to your article, but there are inconsistencies in how it is defined. At L108–109 you define FTA as the difference in the richness of interaction-relevant traits between trophic levels. However, in the Methods (L189–191) you include both interaction-relevant traits and traits related to physiological tolerance to the abiotic environment. In the Discussion (L481), you again refer only to traits relevant to trophic interactions. This creates confusion. If FTA is meant to be based solely on interaction-relevant traits, then the trait set should be restricted accordingly. If environmental-tolerance traits are intentionally included, the definition of FTA should be revised to reflect this broader scope. In either case, please clarify and justify the trait selection.</w:t>
      </w:r>
    </w:p>
    <w:p>
      <w:pPr>
        <w:pStyle w:val="FirstParagraph"/>
      </w:pPr>
      <w:r>
        <w:t xml:space="preserve">We have revised the definition of functional trophic asymmetry throughout the manuscript to clarify that FTA is quantified from the standardized functional diversity of trophic assemblages based on traits that collectively capture both species’ interaction niches and their responses to the abiotic environment. We also added a brief justification of trait selection in the Methods and ensured consistent terminology in the Introduction, Methods, and Discussion.</w:t>
      </w:r>
    </w:p>
    <w:p>
      <w:pPr>
        <w:pStyle w:val="BlockText"/>
      </w:pPr>
      <w:r>
        <w:t xml:space="preserve">Briefly describe the dietary categories in brackets for clarity.</w:t>
      </w:r>
    </w:p>
    <w:p>
      <w:pPr>
        <w:pStyle w:val="FirstParagraph"/>
      </w:pPr>
      <w:r>
        <w:t xml:space="preserve">Dietary categories are described in brackets</w:t>
      </w:r>
    </w:p>
    <w:p>
      <w:pPr>
        <w:pStyle w:val="BlockText"/>
      </w:pPr>
      <w:r>
        <w:t xml:space="preserve">It would be valuable to test the predictions of your downscaling approach by comparing the metaweb-derived networks with some available local networks to evaluate how well the downscaled structure matches empirical data. If validation is not feasible, please acknowledge this limitation in the Discussion—one or two sentences would be sufficient.</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“This normalization ensures that our measure reflects trait diversity rather than simply species richness.”</w:t>
      </w:r>
      <w:r>
        <w:t xml:space="preserve"> </w:t>
      </w:r>
      <w:r>
        <w:t xml:space="preserve">I struggle to understand this normalization step. You state that dividing by species richness (i.e., using proportions of species per guild) removes the effect of species richness, but it is unclear how this operation actually isolates functional richness. Could you clarify this?</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“We assigned a value of FR = 0 to those guilds with no palm or mammal species present.”</w:t>
      </w:r>
      <w:r>
        <w:t xml:space="preserve"> </w:t>
      </w:r>
      <w:r>
        <w:t xml:space="preserve">What is the purpose of including these zeros?</w:t>
      </w:r>
    </w:p>
    <w:p>
      <w:pPr>
        <w:pStyle w:val="FirstParagraph"/>
      </w:pPr>
      <w:r>
        <w:t xml:space="preserve">The interaction-guild framework has been removed from the manuscript. In the revised version, functional richness and functional dispersion are calculated directly from the producer and consumer trait spaces rather than from latent interaction guilds. As a result, this point is no longer directly applicable to the scope of the present study.</w:t>
      </w:r>
    </w:p>
    <w:p>
      <w:pPr>
        <w:pStyle w:val="BlockText"/>
      </w:pPr>
      <w:r>
        <w:t xml:space="preserve">FTA is calculated as an absolute difference. Would it make sense to also consider a directional difference? Biologically, having higher functional diversity in consumers than in producers is not equivalent to the opposite case, so the sign may carry meaningful information.</w:t>
      </w:r>
    </w:p>
    <w:p>
      <w:pPr>
        <w:pStyle w:val="FirstParagraph"/>
      </w:pPr>
      <w:r>
        <w:t xml:space="preserve">We agree that the direction of the difference carries important biological information. Accordingly, we revised the definition of functional trophic asymmetry (FTA) to use a signed difference rather than an absolute difference, allowing us to distinguish cases where functional diversity is greater in mammal assemblages from those where it is greater in palm assemblages. We updated the definition, equations, conceptual figure, and all corresponding interpretations throughout the manuscript to reflect this change. In addition, we included a complementary analysis in the Supplementary Material (Figure S-11) showing how FTA can be interpreted jointly with the mean standardized effect size across trophic levels, allowing the direction and magnitude of asymmetry to be distinguished from changes in the overall level of functional diversity.</w:t>
      </w:r>
    </w:p>
    <w:p>
      <w:pPr>
        <w:pStyle w:val="BlockText"/>
      </w:pPr>
      <w:r>
        <w:t xml:space="preserve">GAM models (L357–361, 371–376): More detail is needed. Which function and package did you use (e.g., mgcv::gam)? Which family and link function? Did you use tensor interactions? Which diagnostic checks did you run (e.g., gam.check, k.check, gratia, residual diagnostics)?</w:t>
      </w:r>
    </w:p>
    <w:p>
      <w:pPr>
        <w:pStyle w:val="FirstParagraph"/>
      </w:pPr>
      <w:r>
        <w:t xml:space="preserve">We expanded the Methods to provide additional details on the GAM implementation, including the function and package used</w:t>
      </w:r>
      <w:r>
        <w:t xml:space="preserve"> </w:t>
      </w:r>
      <w:r>
        <w:rPr>
          <w:rStyle w:val="VerbatimChar"/>
        </w:rPr>
        <w:t xml:space="preserve">(mgcv::gam)</w:t>
      </w:r>
      <w:r>
        <w:t xml:space="preserve">, the error distribution and link function, the specification of the smooth terms, and the absence of tensor-product interactions. We also clarified the diagnostic procedures used to evaluate model adequacy, including</w:t>
      </w:r>
      <w:r>
        <w:t xml:space="preserve"> </w:t>
      </w:r>
      <w:r>
        <w:rPr>
          <w:rStyle w:val="VerbatimChar"/>
        </w:rPr>
        <w:t xml:space="preserve">gam.check()</w:t>
      </w:r>
      <w:r>
        <w:t xml:space="preserve"> </w:t>
      </w:r>
      <w:r>
        <w:t xml:space="preserve">and visual inspection of residual diagnostics.</w:t>
      </w:r>
    </w:p>
    <w:p>
      <w:pPr>
        <w:pStyle w:val="BlockText"/>
      </w:pPr>
      <w:r>
        <w:t xml:space="preserve">(Table S1): The reported R² values are essentially zero, and some appear negative—please verify this. With such low explanatory power, the interpretability of predictor effects is unclear; significant p-values may simply reflect the large sample size. Also, estimates are reported for abiotic variables but not for guilds—only p-values are shown. Please revise.</w:t>
      </w:r>
    </w:p>
    <w:p>
      <w:pPr>
        <w:pStyle w:val="FirstParagraph"/>
      </w:pPr>
      <w:r>
        <w:t xml:space="preserve">Rather than analysing 1° grid cells (as the previous version), all functional diversity metrics are now calculated at the level of biogeographic provinces, which represent the ecological units of inference in this study. This resulted in substantially improved model performance, with higher explained variance and clearer relationships between climatic predictors and functional diversity. Accordingly, the previous concerns regarding near-zero R² values and the interpretation of significant effects due to large sample size are no longer applicable. In addition, the previous interaction-guild framework has been removed from the manuscript, and Tables have been revised to reflect the new analytical approach and model outputs.</w:t>
      </w:r>
    </w:p>
    <w:p>
      <w:pPr>
        <w:pStyle w:val="BlockText"/>
      </w:pPr>
      <w:r>
        <w:t xml:space="preserve">Decimals and reporting consistency: Please check for consistency in decimal places throughout the manuscript. It would be better to use a fixed number (e.g., two or three) and report very small p-values as p &lt; 0.001. The manuscript currently mixes formats (e.g., four decimals at L429, three at L422, two at L453). In L460 and L477 you report p &gt; x; please report the actual p-values instead.</w:t>
      </w:r>
    </w:p>
    <w:p>
      <w:pPr>
        <w:pStyle w:val="FirstParagraph"/>
      </w:pPr>
      <w:r>
        <w:t xml:space="preserve">We have carefully revised the manuscript to standardize the reporting of numerical values throughout. Decimal places are now reported consistently, very small p-values are presented as p &lt; 0.001, and exact p-values are reported where appropriate instead of expressions such as p &gt; x.</w:t>
      </w:r>
    </w:p>
    <w:p>
      <w:pPr>
        <w:pStyle w:val="BlockText"/>
      </w:pPr>
      <w:r>
        <w:t xml:space="preserve">Figures: The figures are informative, but please consider using a colour-blind–safe palette to distinguish producers and consumers. The current colours are difficult to differentiate for colour-blind readers.</w:t>
      </w:r>
    </w:p>
    <w:p>
      <w:pPr>
        <w:pStyle w:val="BlockText"/>
      </w:pPr>
      <w:r>
        <w:t xml:space="preserve">Figure 1 (L603–606): I would remove this section. The caption contains more information than necessary, and streamlining would save words without reducing clarity.A similar level of streamlining across all figure captions would benefit the manuscript. I recommend keeping only the minimum information needed to understand each figure and moving the remaining details to the main text.</w:t>
      </w:r>
    </w:p>
    <w:p>
      <w:pPr>
        <w:pStyle w:val="FirstParagraph"/>
      </w:pPr>
      <w:r>
        <w:t xml:space="preserve">We have updated the main figures to use a colorblind-friendly blue–orange–gray palette and distinct point shapes for palms, mammals, and FTA</w:t>
      </w:r>
    </w:p>
    <w:p>
      <w:pPr>
        <w:pStyle w:val="BlockText"/>
      </w:pPr>
      <w:r>
        <w:t xml:space="preserve">First of all, I disagree with the central premise of the paper, that trait-based approaches considering multiple trophic levels remain rare in the ecological literature. I may be biased, but I believe the research in mutualistic network ecology has been closely associated with the advancements put forward in the past decades in trait-based and functional approaches, particularly those aimed at predicting species interactions from trait linkage rules. Over the past decades, a substantial body of literature has examined how communities of interacting species assemble and disassemble as a function of species traits. This literature appears to be largely undermined here. That said, I do agree that, that</w:t>
      </w:r>
      <w:r>
        <w:t xml:space="preserve"> </w:t>
      </w:r>
      <w:r>
        <w:t xml:space="preserve">“horizontal”</w:t>
      </w:r>
      <w:r>
        <w:t xml:space="preserve"> </w:t>
      </w:r>
      <w:r>
        <w:t xml:space="preserve">diversity studies, are way more common than</w:t>
      </w:r>
      <w:r>
        <w:t xml:space="preserve"> </w:t>
      </w:r>
      <w:r>
        <w:t xml:space="preserve">“multitrophic”</w:t>
      </w:r>
      <w:r>
        <w:t xml:space="preserve"> </w:t>
      </w:r>
      <w:r>
        <w:t xml:space="preserve">diversity. But to say that they are rare, seems to be an exaggeration. And then again, all the work on horizontal functional diversity is, at least implicitly, grounded in the assumption that competition is the structurally dominant ecological interaction underlying community assembly. Moreover, functional symmetry is at least an implicit assumption in many trait-based models, and there has been some recent studies that have explicitly examined asymmetry in how traits and trophic links are organized and function in ecological networks (Zheng, et al. </w:t>
      </w:r>
      <w:r>
        <w:t xml:space="preserve">“Asymmetric foraging lowers the trophic level and omnivory in natural food webs.”</w:t>
      </w:r>
      <w:r>
        <w:t xml:space="preserve"> </w:t>
      </w:r>
      <w:r>
        <w:t xml:space="preserve">Journal of Animal Ecology 90.6 (2021): 1444-1454.; Borzone et al. </w:t>
      </w:r>
      <w:r>
        <w:t xml:space="preserve">“Symmetries and asymmetries in the topological roles of piscivorous fishes between occurrence networks and food webs.”</w:t>
      </w:r>
      <w:r>
        <w:t xml:space="preserve"> </w:t>
      </w:r>
      <w:r>
        <w:t xml:space="preserve">Journal of Animal Ecology 91.10 2022: 2061-2073; Hidas, A., &amp; Jordán, F. 2025. Causal links indicating ecosystem functioning in food webs. Community Ecology, 26(3), 725-730).</w:t>
      </w:r>
    </w:p>
    <w:p>
      <w:pPr>
        <w:pStyle w:val="FirstParagraph"/>
      </w:pPr>
      <w:r>
        <w:t xml:space="preserve">In the revised Introduction, we no longer state that multitrophic trait-based approaches are rare. Instead, we explicitly acknowledge the extensive literature demonstrating how trait matching shapes species interactions and ecological network assembly across trophic levels. We clarify that the current knowledge gap is not the application of traits to multitrophic systems per se, but rather the limited understanding of how community assembly processes jointly shape functional diversity within and between trophic levels across broad spatial scales. We also expanded the Introduction to recognize recent work (including provided references) on asymmetry in ecological networks and better position functional trophic asymmetry within this existing body of research.</w:t>
      </w:r>
    </w:p>
    <w:p>
      <w:pPr>
        <w:pStyle w:val="BlockText"/>
      </w:pPr>
      <w:r>
        <w:t xml:space="preserve">The methods proposed by the authors do not appear to make a direct link to actual species traits. Ultimately, the approach seems to detect differences among trophic guilds without explicitly incorporating measured species traits, as the authors show that the stochastic block model better fits the data, in comparison to the trait based models tested by the authors. This contrasts with much of the functional diversity literature cited to justify the work. A stochastic block models are defined purely by structural equivalence, it is not immediately clear whether the inferred groups correspond to distinct combinations of species traits or whether they reflect latent interaction structure unrelated to the measured traits, as the authors explicitly claim and use to infer their functional richness (for instance L 313-318). The authors also claim that their Functional Trophic Asymmetry framework could help to estimate the strength of environmental selection and trait matching. However, the manuscript does not provide evidence demonstrating that the framework can reliably recover these underlying processes. I tend to remain skeptical of new analytical frameworks that are not accompanied by a thorough assessment of their behavior, as I believe ecology currently faces an overabundance of analytical tools that are insufficiently validated.</w:t>
      </w:r>
    </w:p>
    <w:p>
      <w:pPr>
        <w:pStyle w:val="FirstParagraph"/>
      </w:pPr>
      <w:r>
        <w:t xml:space="preserve">In the revised manuscript, we substantially revised the analytical framework and removed the stochastic block model and latent interaction-guild approach. Functional richness, functional dispersion, and functional trophic asymmetry are now calculated directly from measured species traits using multidimensional trait spaces for palms and mammals. We also revised the conceptual framing of FTA to clarify that it is a descriptive metric of asymmetries in trophic functional organization rather than a direct estimator of environmental filtering or trait matching. Throughout the manuscript, we now interpret FTA as an indicator of differential responses across trophic levels, while recognizing that the underlying ecological processes require independent testing. Our implementation of FTA relies on a simple richness-constrained null model designed to provide an interpretable baseline for standardized functional diversity.</w:t>
      </w:r>
    </w:p>
    <w:p>
      <w:pPr>
        <w:pStyle w:val="BlockText"/>
      </w:pPr>
      <w:r>
        <w:t xml:space="preserve">Finally, the manuscript relies on a large dataset and a complex modeling pipeline to estimate species interactions and Functional Trophic Asymmetry, which seems to be the main point of the manuscript (but see my initial concern). If introducing the FTA is the main goal of the paper, rather than the ecological association between climate and palm-mammal networks in the Neotropics, I think that this level of complexity might be obscuring this main conceptual advance. The authors compiled metawebs and downscale them to local networks using a series of models and analytical steps to detect interactions, but this complex analytical machinery may distract from the core contribution. Thus, as a suggestion, I would say that if the primary goal is to introduce and justify this new conceptual framework (considering my previous ocmments), it might be more effective to introduce it using well-sampled empirical local networks or even a controlled</w:t>
      </w:r>
      <w:r>
        <w:t xml:space="preserve"> </w:t>
      </w:r>
      <w:r>
        <w:t xml:space="preserve">“toy”</w:t>
      </w:r>
      <w:r>
        <w:t xml:space="preserve"> </w:t>
      </w:r>
      <w:r>
        <w:t xml:space="preserve">dataset. Figure 1: In Pij is it suppose to be a Hadamard (element-wise) product, or a standard matrix multiplication? If it is a Hadamard product, the appropriate symbol (⊙) should be used.</w:t>
      </w:r>
    </w:p>
    <w:p>
      <w:pPr>
        <w:pStyle w:val="FirstParagraph"/>
      </w:pPr>
      <w:r>
        <w:t xml:space="preserve">In the revised manuscript, we substantially simplified the analytical framework by removing the interaction downscaling component and focusing directly on the development and application of Functional Trophic Asymmetry (FTA) using trait-based functional diversity. Functional richness, functional dispersion, and FTA are now calculated directly from measured species traits rather than inferred interaction networks. This revision considerably reduces the methodological complexity and better aligns the analyses with the primary conceptual contribution of the manuscript</w:t>
      </w:r>
    </w:p>
    <w:bookmarkEnd w:id="225"/>
    <w:bookmarkEnd w:id="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91" Target="media/rId91.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75" Target="media/rId75.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71" Target="media/rId71.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3" Target="https://doi.org/10.1002/eap.2731" TargetMode="External" /><Relationship Type="http://schemas.openxmlformats.org/officeDocument/2006/relationships/hyperlink" Id="rId210" Target="https://doi.org/10.1016/j.biocon.2018.05.022" TargetMode="External" /><Relationship Type="http://schemas.openxmlformats.org/officeDocument/2006/relationships/hyperlink" Id="rId215" Target="https://doi.org/10.1016/j.tree.2004.09.011" TargetMode="External" /><Relationship Type="http://schemas.openxmlformats.org/officeDocument/2006/relationships/hyperlink" Id="rId173" Target="https://doi.org/10.1038/s41467-019-12995-9" TargetMode="External" /><Relationship Type="http://schemas.openxmlformats.org/officeDocument/2006/relationships/hyperlink" Id="rId153" Target="https://doi.org/10.1038/s41597-019-0174-2" TargetMode="External" /><Relationship Type="http://schemas.openxmlformats.org/officeDocument/2006/relationships/hyperlink" Id="rId114" Target="https://doi.org/10.1038/sdata.2018.254" TargetMode="External" /><Relationship Type="http://schemas.openxmlformats.org/officeDocument/2006/relationships/hyperlink" Id="rId195" Target="https://doi.org/10.1073/pnas.1910489116" TargetMode="External" /><Relationship Type="http://schemas.openxmlformats.org/officeDocument/2006/relationships/hyperlink" Id="rId126" Target="https://doi.org/10.1098/rspb.2015.2444" TargetMode="External" /><Relationship Type="http://schemas.openxmlformats.org/officeDocument/2006/relationships/hyperlink" Id="rId123" Target="https://doi.org/10.1098/rstb.2011.0058" TargetMode="External" /><Relationship Type="http://schemas.openxmlformats.org/officeDocument/2006/relationships/hyperlink" Id="rId141" Target="https://doi.org/10.1111/1365-2664.14309" TargetMode="External" /><Relationship Type="http://schemas.openxmlformats.org/officeDocument/2006/relationships/hyperlink" Id="rId200" Target="https://doi.org/10.1111/ecog.02118" TargetMode="External" /><Relationship Type="http://schemas.openxmlformats.org/officeDocument/2006/relationships/hyperlink" Id="rId116" Target="https://doi.org/10.1111/ele.13640" TargetMode="External" /><Relationship Type="http://schemas.openxmlformats.org/officeDocument/2006/relationships/hyperlink" Id="rId180" Target="https://doi.org/10.1111/gcb.16334" TargetMode="External" /><Relationship Type="http://schemas.openxmlformats.org/officeDocument/2006/relationships/hyperlink" Id="rId182" Target="https://doi.org/10.1111/geb.12471" TargetMode="External" /><Relationship Type="http://schemas.openxmlformats.org/officeDocument/2006/relationships/hyperlink" Id="rId188" Target="https://doi.org/10.1111/geb.13309" TargetMode="External" /><Relationship Type="http://schemas.openxmlformats.org/officeDocument/2006/relationships/hyperlink" Id="rId163" Target="https://doi.org/10.1111/geb.13436" TargetMode="External" /><Relationship Type="http://schemas.openxmlformats.org/officeDocument/2006/relationships/hyperlink" Id="rId121" Target="https://doi.org/10.1111/geb.13667" TargetMode="External" /><Relationship Type="http://schemas.openxmlformats.org/officeDocument/2006/relationships/hyperlink" Id="rId150" Target="https://doi.org/10.1126/science.1130880" TargetMode="External" /><Relationship Type="http://schemas.openxmlformats.org/officeDocument/2006/relationships/hyperlink" Id="rId192" Target="https://doi.org/10.1126/science.235.4785.167" TargetMode="External" /><Relationship Type="http://schemas.openxmlformats.org/officeDocument/2006/relationships/hyperlink" Id="rId205" Target="https://doi.org/10.1146/annurev-ecolsys-112414-054314" TargetMode="External" /><Relationship Type="http://schemas.openxmlformats.org/officeDocument/2006/relationships/hyperlink" Id="rId219" Target="https://doi.org/10.1201/9781315370279" TargetMode="External" /><Relationship Type="http://schemas.openxmlformats.org/officeDocument/2006/relationships/hyperlink" Id="rId134" Target="https://doi.org/10.1371/journal.pone.0128264" TargetMode="External" /><Relationship Type="http://schemas.openxmlformats.org/officeDocument/2006/relationships/hyperlink" Id="rId217"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2026-09-07T16:23:36Z</dcterms:created>
  <dcterms:modified xsi:type="dcterms:W3CDTF">2026-09-07T16:23:36Z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2026-09-07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